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926" w:rsidRDefault="00AF4926"/>
    <w:p w:rsidR="00AF4926" w:rsidRPr="00507E06" w:rsidRDefault="00AF4926" w:rsidP="00AF4926">
      <w:pPr>
        <w:spacing w:after="0"/>
        <w:rPr>
          <w:rFonts w:ascii="Times New Roman" w:hAnsi="Times New Roman" w:cs="Times New Roman"/>
          <w:sz w:val="24"/>
          <w:szCs w:val="24"/>
        </w:rPr>
      </w:pPr>
      <w:r w:rsidRPr="00507E06">
        <w:rPr>
          <w:rFonts w:ascii="Times New Roman" w:hAnsi="Times New Roman" w:cs="Times New Roman"/>
          <w:sz w:val="24"/>
          <w:szCs w:val="24"/>
        </w:rPr>
        <w:t>April 8, 2016</w:t>
      </w:r>
    </w:p>
    <w:p w:rsidR="00AF4926" w:rsidRPr="00507E06" w:rsidRDefault="00AF4926" w:rsidP="00AF4926">
      <w:pPr>
        <w:shd w:val="clear" w:color="auto" w:fill="FFFFFF"/>
        <w:spacing w:before="100" w:beforeAutospacing="1" w:after="100" w:afterAutospacing="1"/>
        <w:rPr>
          <w:rFonts w:ascii="Times New Roman" w:eastAsia="Times New Roman" w:hAnsi="Times New Roman" w:cs="Times New Roman"/>
          <w:color w:val="000000"/>
          <w:sz w:val="24"/>
          <w:szCs w:val="24"/>
        </w:rPr>
      </w:pPr>
    </w:p>
    <w:p w:rsidR="00AF4926" w:rsidRPr="00507E06" w:rsidRDefault="00AF4926" w:rsidP="00AF4926">
      <w:pPr>
        <w:shd w:val="clear" w:color="auto" w:fill="FFFFFF"/>
        <w:spacing w:before="100" w:beforeAutospacing="1" w:after="100" w:afterAutospacing="1"/>
        <w:rPr>
          <w:rFonts w:ascii="Times New Roman" w:eastAsia="Times New Roman" w:hAnsi="Times New Roman" w:cs="Times New Roman"/>
          <w:color w:val="000000"/>
          <w:sz w:val="24"/>
          <w:szCs w:val="24"/>
        </w:rPr>
      </w:pPr>
      <w:r w:rsidRPr="00507E06">
        <w:rPr>
          <w:rFonts w:ascii="Times New Roman" w:eastAsia="Times New Roman" w:hAnsi="Times New Roman" w:cs="Times New Roman"/>
          <w:color w:val="000000"/>
          <w:sz w:val="24"/>
          <w:szCs w:val="24"/>
        </w:rPr>
        <w:t>Office of Multifamily Housing</w:t>
      </w:r>
      <w:r w:rsidRPr="00507E06">
        <w:rPr>
          <w:rFonts w:ascii="Times New Roman" w:eastAsia="Times New Roman" w:hAnsi="Times New Roman" w:cs="Times New Roman"/>
          <w:color w:val="000000"/>
          <w:sz w:val="24"/>
          <w:szCs w:val="24"/>
        </w:rPr>
        <w:br/>
        <w:t>Asset Management and Portfolio Oversight</w:t>
      </w:r>
      <w:r w:rsidRPr="00507E06">
        <w:rPr>
          <w:rFonts w:ascii="Times New Roman" w:eastAsia="Times New Roman" w:hAnsi="Times New Roman" w:cs="Times New Roman"/>
          <w:color w:val="000000"/>
          <w:sz w:val="24"/>
          <w:szCs w:val="24"/>
        </w:rPr>
        <w:br/>
        <w:t>Department of Housing and Urban Development</w:t>
      </w:r>
      <w:r w:rsidRPr="00507E06">
        <w:rPr>
          <w:rFonts w:ascii="Times New Roman" w:eastAsia="Times New Roman" w:hAnsi="Times New Roman" w:cs="Times New Roman"/>
          <w:color w:val="000000"/>
          <w:sz w:val="24"/>
          <w:szCs w:val="24"/>
        </w:rPr>
        <w:br/>
        <w:t>451 7th Street SW</w:t>
      </w:r>
      <w:r w:rsidRPr="00507E06">
        <w:rPr>
          <w:rFonts w:ascii="Times New Roman" w:eastAsia="Times New Roman" w:hAnsi="Times New Roman" w:cs="Times New Roman"/>
          <w:color w:val="000000"/>
          <w:sz w:val="24"/>
          <w:szCs w:val="24"/>
        </w:rPr>
        <w:br/>
        <w:t>Washington, DC 20410–0500</w:t>
      </w:r>
    </w:p>
    <w:p w:rsidR="00AF4926" w:rsidRPr="00507E06" w:rsidRDefault="00AF4926" w:rsidP="00AF4926">
      <w:pPr>
        <w:spacing w:before="100" w:beforeAutospacing="1" w:after="100" w:afterAutospacing="1"/>
        <w:rPr>
          <w:rStyle w:val="Hyperlink"/>
          <w:rFonts w:ascii="Times New Roman" w:hAnsi="Times New Roman" w:cs="Times New Roman"/>
          <w:bCs/>
          <w:color w:val="00295A"/>
          <w:sz w:val="24"/>
          <w:szCs w:val="24"/>
          <w:u w:val="none"/>
        </w:rPr>
      </w:pPr>
      <w:r w:rsidRPr="00507E06">
        <w:rPr>
          <w:rStyle w:val="Strong"/>
          <w:rFonts w:ascii="Times New Roman" w:hAnsi="Times New Roman" w:cs="Times New Roman"/>
          <w:b w:val="0"/>
          <w:sz w:val="24"/>
          <w:szCs w:val="24"/>
        </w:rPr>
        <w:t xml:space="preserve">Via email to </w:t>
      </w:r>
      <w:hyperlink r:id="rId9" w:history="1">
        <w:r w:rsidRPr="00507E06">
          <w:rPr>
            <w:rStyle w:val="Hyperlink"/>
            <w:rFonts w:ascii="Times New Roman" w:hAnsi="Times New Roman" w:cs="Times New Roman"/>
            <w:b/>
            <w:bCs/>
            <w:color w:val="00295A"/>
            <w:sz w:val="24"/>
            <w:szCs w:val="24"/>
          </w:rPr>
          <w:t>Section8renewalguide@hud.gov</w:t>
        </w:r>
      </w:hyperlink>
      <w:r w:rsidRPr="00507E06">
        <w:rPr>
          <w:rStyle w:val="Hyperlink"/>
          <w:rFonts w:ascii="Times New Roman" w:hAnsi="Times New Roman" w:cs="Times New Roman"/>
          <w:b/>
          <w:bCs/>
          <w:color w:val="00295A"/>
          <w:sz w:val="24"/>
          <w:szCs w:val="24"/>
        </w:rPr>
        <w:br/>
      </w:r>
      <w:r w:rsidRPr="00507E06">
        <w:rPr>
          <w:rStyle w:val="Hyperlink"/>
          <w:rFonts w:ascii="Times New Roman" w:hAnsi="Times New Roman" w:cs="Times New Roman"/>
          <w:bCs/>
          <w:color w:val="auto"/>
          <w:sz w:val="24"/>
          <w:szCs w:val="24"/>
        </w:rPr>
        <w:t xml:space="preserve">cc: </w:t>
      </w:r>
      <w:proofErr w:type="spellStart"/>
      <w:r w:rsidRPr="00507E06">
        <w:rPr>
          <w:rStyle w:val="Hyperlink"/>
          <w:rFonts w:ascii="Times New Roman" w:hAnsi="Times New Roman" w:cs="Times New Roman"/>
          <w:bCs/>
          <w:color w:val="auto"/>
          <w:sz w:val="24"/>
          <w:szCs w:val="24"/>
        </w:rPr>
        <w:t>Priya</w:t>
      </w:r>
      <w:proofErr w:type="spellEnd"/>
      <w:r w:rsidRPr="00507E06">
        <w:rPr>
          <w:rStyle w:val="Hyperlink"/>
          <w:rFonts w:ascii="Times New Roman" w:hAnsi="Times New Roman" w:cs="Times New Roman"/>
          <w:bCs/>
          <w:color w:val="auto"/>
          <w:sz w:val="24"/>
          <w:szCs w:val="24"/>
        </w:rPr>
        <w:t xml:space="preserve"> </w:t>
      </w:r>
      <w:proofErr w:type="spellStart"/>
      <w:r w:rsidRPr="00507E06">
        <w:rPr>
          <w:rStyle w:val="Hyperlink"/>
          <w:rFonts w:ascii="Times New Roman" w:hAnsi="Times New Roman" w:cs="Times New Roman"/>
          <w:bCs/>
          <w:color w:val="auto"/>
          <w:sz w:val="24"/>
          <w:szCs w:val="24"/>
        </w:rPr>
        <w:t>Jayachandran</w:t>
      </w:r>
      <w:proofErr w:type="spellEnd"/>
      <w:r w:rsidRPr="00507E06">
        <w:rPr>
          <w:rStyle w:val="Hyperlink"/>
          <w:rFonts w:ascii="Times New Roman" w:hAnsi="Times New Roman" w:cs="Times New Roman"/>
          <w:bCs/>
          <w:color w:val="auto"/>
          <w:sz w:val="24"/>
          <w:szCs w:val="24"/>
        </w:rPr>
        <w:t>; Nancie-Ann Bodell; Kate Nzive; Stan Houle</w:t>
      </w:r>
    </w:p>
    <w:p w:rsidR="00AF4926" w:rsidRPr="00507E06" w:rsidRDefault="00AF4926" w:rsidP="00AF4926">
      <w:pPr>
        <w:spacing w:after="0"/>
        <w:rPr>
          <w:rFonts w:ascii="Times New Roman" w:hAnsi="Times New Roman" w:cs="Times New Roman"/>
          <w:sz w:val="24"/>
          <w:szCs w:val="24"/>
        </w:rPr>
      </w:pPr>
    </w:p>
    <w:p w:rsidR="00AF4926" w:rsidRPr="00507E06" w:rsidRDefault="00AF4926" w:rsidP="00AF4926">
      <w:pPr>
        <w:spacing w:after="0"/>
        <w:ind w:left="720" w:hanging="720"/>
        <w:rPr>
          <w:rFonts w:ascii="Times New Roman" w:hAnsi="Times New Roman" w:cs="Times New Roman"/>
          <w:color w:val="000000"/>
          <w:sz w:val="24"/>
          <w:szCs w:val="24"/>
          <w:shd w:val="clear" w:color="auto" w:fill="FFFFFF"/>
        </w:rPr>
      </w:pPr>
      <w:r w:rsidRPr="00507E06">
        <w:rPr>
          <w:rFonts w:ascii="Times New Roman" w:hAnsi="Times New Roman" w:cs="Times New Roman"/>
          <w:b/>
          <w:sz w:val="24"/>
          <w:szCs w:val="24"/>
        </w:rPr>
        <w:t xml:space="preserve">RE: </w:t>
      </w:r>
      <w:r w:rsidRPr="00507E06">
        <w:rPr>
          <w:rFonts w:ascii="Times New Roman" w:hAnsi="Times New Roman" w:cs="Times New Roman"/>
          <w:b/>
          <w:sz w:val="24"/>
          <w:szCs w:val="24"/>
        </w:rPr>
        <w:tab/>
      </w:r>
      <w:r w:rsidRPr="00507E06">
        <w:rPr>
          <w:rFonts w:ascii="Times New Roman" w:hAnsi="Times New Roman" w:cs="Times New Roman"/>
          <w:color w:val="000000"/>
          <w:sz w:val="24"/>
          <w:szCs w:val="24"/>
          <w:shd w:val="clear" w:color="auto" w:fill="FFFFFF"/>
        </w:rPr>
        <w:t xml:space="preserve">Chapter 9 of the Section 8 Renewal Policy Guide, proposed changes as posted February 23, 2016 to the Section 8 Drafting Table at </w:t>
      </w:r>
      <w:hyperlink r:id="rId10" w:history="1">
        <w:r w:rsidRPr="00507E06">
          <w:rPr>
            <w:rStyle w:val="Hyperlink"/>
            <w:rFonts w:ascii="Times New Roman" w:hAnsi="Times New Roman" w:cs="Times New Roman"/>
            <w:sz w:val="24"/>
            <w:szCs w:val="24"/>
            <w:shd w:val="clear" w:color="auto" w:fill="FFFFFF"/>
          </w:rPr>
          <w:t>http://portal.hud.gov/hudportal/HUD?src=/program_offices/housing/mfh/MFH_policy_drafts/sec8guide</w:t>
        </w:r>
      </w:hyperlink>
      <w:r w:rsidRPr="00507E06">
        <w:rPr>
          <w:rFonts w:ascii="Times New Roman" w:hAnsi="Times New Roman" w:cs="Times New Roman"/>
          <w:color w:val="000000"/>
          <w:sz w:val="24"/>
          <w:szCs w:val="24"/>
          <w:shd w:val="clear" w:color="auto" w:fill="FFFFFF"/>
        </w:rPr>
        <w:t xml:space="preserve"> </w:t>
      </w:r>
    </w:p>
    <w:p w:rsidR="00AF4926" w:rsidRPr="00507E06" w:rsidRDefault="00AF4926" w:rsidP="00AF4926">
      <w:pPr>
        <w:spacing w:after="0"/>
        <w:ind w:left="720" w:hanging="720"/>
        <w:rPr>
          <w:rFonts w:ascii="Times New Roman" w:hAnsi="Times New Roman" w:cs="Times New Roman"/>
          <w:sz w:val="24"/>
          <w:szCs w:val="24"/>
        </w:rPr>
      </w:pPr>
    </w:p>
    <w:p w:rsidR="00AF4926" w:rsidRPr="00507E06" w:rsidRDefault="00AF4926" w:rsidP="00AF4926">
      <w:pPr>
        <w:pStyle w:val="Default"/>
      </w:pPr>
      <w:r w:rsidRPr="00507E06">
        <w:rPr>
          <w:rFonts w:eastAsia="Times New Roman"/>
        </w:rPr>
        <w:t xml:space="preserve">Following are the comments of LeadingAge to the draft of Chapter 9 of the Section 8 Renewal Policy Guide as posted on February 23, 2016 to the Section 8 Drafting Table at </w:t>
      </w:r>
      <w:hyperlink r:id="rId11" w:history="1">
        <w:r w:rsidRPr="00507E06">
          <w:rPr>
            <w:rStyle w:val="Hyperlink"/>
            <w:shd w:val="clear" w:color="auto" w:fill="FFFFFF"/>
          </w:rPr>
          <w:t>http://portal.hud.gov/hudportal/HUD?src=/program_offices/housing/mfh/MFH_policy_drafts/sec8guide</w:t>
        </w:r>
      </w:hyperlink>
      <w:r w:rsidRPr="00507E06">
        <w:rPr>
          <w:rFonts w:eastAsia="Times New Roman"/>
        </w:rPr>
        <w:t xml:space="preserve">  for stakeholder review and feedback. </w:t>
      </w:r>
    </w:p>
    <w:p w:rsidR="00AF4926" w:rsidRPr="00507E06" w:rsidRDefault="00AF4926" w:rsidP="00AF4926">
      <w:pPr>
        <w:pStyle w:val="NoSpacing"/>
        <w:rPr>
          <w:rFonts w:eastAsia="Times New Roman"/>
          <w:color w:val="000000"/>
        </w:rPr>
      </w:pPr>
    </w:p>
    <w:p w:rsidR="00AF4926" w:rsidRDefault="00AF4926" w:rsidP="00AF4926">
      <w:pPr>
        <w:pStyle w:val="NoSpacing"/>
        <w:rPr>
          <w:rFonts w:eastAsia="Times New Roman"/>
          <w:color w:val="000000"/>
        </w:rPr>
      </w:pPr>
      <w:r w:rsidRPr="00507E06">
        <w:rPr>
          <w:rFonts w:eastAsia="Times New Roman"/>
          <w:color w:val="000000"/>
        </w:rPr>
        <w:t>The mission of LeadingAge is to expand the world of possibilities for aging. Our membership has a service footprint of 4.5 million and includes a community of 6,000 members representing the entire field of aging services, including not-for-profit organizations, state partners, and hundreds of businesses, consumer groups, foundations, and research partners. LeadingAge is a tax-exempt charitable organization focused on education, advocacy, and applied research.</w:t>
      </w:r>
      <w:r>
        <w:rPr>
          <w:rFonts w:eastAsia="Times New Roman"/>
          <w:color w:val="000000"/>
        </w:rPr>
        <w:t xml:space="preserve"> </w:t>
      </w:r>
      <w:r w:rsidRPr="00507E06">
        <w:rPr>
          <w:rFonts w:eastAsia="Times New Roman"/>
          <w:color w:val="000000"/>
        </w:rPr>
        <w:t>LeadingAge</w:t>
      </w:r>
      <w:r>
        <w:rPr>
          <w:rFonts w:eastAsia="Times New Roman"/>
          <w:color w:val="000000"/>
        </w:rPr>
        <w:t xml:space="preserve"> (then AAHSA)</w:t>
      </w:r>
      <w:r w:rsidRPr="00507E06">
        <w:rPr>
          <w:rFonts w:eastAsia="Times New Roman"/>
          <w:color w:val="000000"/>
        </w:rPr>
        <w:t xml:space="preserve"> was a key participant in the </w:t>
      </w:r>
      <w:r>
        <w:rPr>
          <w:rFonts w:eastAsia="Times New Roman"/>
          <w:color w:val="000000"/>
        </w:rPr>
        <w:t xml:space="preserve">extensive and collaborative </w:t>
      </w:r>
      <w:r w:rsidRPr="00507E06">
        <w:rPr>
          <w:rFonts w:eastAsia="Times New Roman"/>
          <w:color w:val="000000"/>
        </w:rPr>
        <w:t>process</w:t>
      </w:r>
      <w:r>
        <w:rPr>
          <w:rFonts w:eastAsia="Times New Roman"/>
          <w:color w:val="000000"/>
        </w:rPr>
        <w:t xml:space="preserve"> used </w:t>
      </w:r>
      <w:r w:rsidRPr="00507E06">
        <w:rPr>
          <w:rFonts w:eastAsia="Times New Roman"/>
          <w:color w:val="000000"/>
        </w:rPr>
        <w:t>to develop the ini</w:t>
      </w:r>
      <w:r>
        <w:rPr>
          <w:rFonts w:eastAsia="Times New Roman"/>
          <w:color w:val="000000"/>
        </w:rPr>
        <w:t xml:space="preserve">tial rent comparability guidance.  </w:t>
      </w:r>
    </w:p>
    <w:p w:rsidR="00AF4926" w:rsidRDefault="00AF4926" w:rsidP="00AF4926">
      <w:pPr>
        <w:pStyle w:val="NoSpacing"/>
        <w:rPr>
          <w:rFonts w:eastAsia="Times New Roman"/>
          <w:color w:val="000000"/>
        </w:rPr>
      </w:pPr>
    </w:p>
    <w:p w:rsidR="00AF4926" w:rsidRPr="00507E06" w:rsidRDefault="00AF4926" w:rsidP="00AF4926">
      <w:pPr>
        <w:pStyle w:val="NoSpacing"/>
        <w:rPr>
          <w:rFonts w:eastAsia="Times New Roman"/>
          <w:color w:val="000000"/>
        </w:rPr>
      </w:pPr>
      <w:r>
        <w:rPr>
          <w:rFonts w:eastAsia="Times New Roman"/>
          <w:color w:val="000000"/>
        </w:rPr>
        <w:t>We appreciate the effort of the department to update its guidance and to reorganize elements within it, consistent with its efforts to improve business processes and consistency in the field. T</w:t>
      </w:r>
      <w:r w:rsidRPr="00507E06">
        <w:rPr>
          <w:rFonts w:eastAsia="Times New Roman"/>
          <w:color w:val="000000"/>
        </w:rPr>
        <w:t xml:space="preserve">his is the first substantial update of the rent comparability policy guidance in almost 17 years.  </w:t>
      </w:r>
    </w:p>
    <w:p w:rsidR="00AF4926" w:rsidRDefault="00AF4926" w:rsidP="00AF4926">
      <w:pPr>
        <w:pStyle w:val="NoSpacing"/>
        <w:rPr>
          <w:rFonts w:eastAsia="Times New Roman"/>
          <w:color w:val="000000"/>
        </w:rPr>
      </w:pPr>
    </w:p>
    <w:p w:rsidR="00AF4926" w:rsidRDefault="00AF4926" w:rsidP="00AF4926">
      <w:pPr>
        <w:pStyle w:val="NoSpacing"/>
        <w:rPr>
          <w:rFonts w:eastAsia="Times New Roman"/>
          <w:color w:val="000000"/>
        </w:rPr>
      </w:pPr>
      <w:r w:rsidRPr="00507E06">
        <w:rPr>
          <w:rFonts w:eastAsia="Times New Roman"/>
          <w:color w:val="000000"/>
        </w:rPr>
        <w:t>Despite departmental characterization</w:t>
      </w:r>
      <w:r>
        <w:rPr>
          <w:rFonts w:eastAsia="Times New Roman"/>
          <w:color w:val="000000"/>
        </w:rPr>
        <w:t xml:space="preserve"> </w:t>
      </w:r>
      <w:r w:rsidRPr="00507E06">
        <w:rPr>
          <w:rFonts w:eastAsia="Times New Roman"/>
          <w:color w:val="000000"/>
        </w:rPr>
        <w:t>of the document as “</w:t>
      </w:r>
      <w:r w:rsidRPr="00507E06">
        <w:rPr>
          <w:rFonts w:eastAsia="Times New Roman"/>
          <w:i/>
          <w:color w:val="000000"/>
        </w:rPr>
        <w:t>substantially reorganized, but contain[</w:t>
      </w:r>
      <w:proofErr w:type="spellStart"/>
      <w:r w:rsidRPr="00507E06">
        <w:rPr>
          <w:rFonts w:eastAsia="Times New Roman"/>
          <w:i/>
          <w:color w:val="000000"/>
        </w:rPr>
        <w:t>ing</w:t>
      </w:r>
      <w:proofErr w:type="spellEnd"/>
      <w:r w:rsidRPr="00507E06">
        <w:rPr>
          <w:rFonts w:eastAsia="Times New Roman"/>
          <w:i/>
          <w:color w:val="000000"/>
        </w:rPr>
        <w:t>] few changes in departmental policy</w:t>
      </w:r>
      <w:r w:rsidRPr="00507E06">
        <w:rPr>
          <w:rFonts w:eastAsia="Times New Roman"/>
          <w:color w:val="000000"/>
        </w:rPr>
        <w:t>”, we have found many substantive changes which raise concerns.  As a major driver for early policies addressing the recognition of the value of supportive services in senior housing (whether or not the resident paid for them), many of our comments below will focus on that area</w:t>
      </w:r>
      <w:r>
        <w:rPr>
          <w:rFonts w:eastAsia="Times New Roman"/>
          <w:color w:val="000000"/>
        </w:rPr>
        <w:t xml:space="preserve">.  </w:t>
      </w:r>
    </w:p>
    <w:p w:rsidR="00244DF0" w:rsidRDefault="00244DF0" w:rsidP="00AF4926">
      <w:pPr>
        <w:pStyle w:val="NoSpacing"/>
        <w:rPr>
          <w:rFonts w:eastAsia="Times New Roman"/>
          <w:color w:val="000000"/>
        </w:rPr>
      </w:pPr>
      <w:r>
        <w:rPr>
          <w:rFonts w:eastAsia="Times New Roman"/>
          <w:color w:val="000000"/>
        </w:rPr>
        <w:lastRenderedPageBreak/>
        <w:t>Additionally</w:t>
      </w:r>
      <w:r>
        <w:rPr>
          <w:rFonts w:eastAsia="Times New Roman"/>
          <w:color w:val="000000"/>
        </w:rPr>
        <w:t xml:space="preserve">, we </w:t>
      </w:r>
      <w:r>
        <w:rPr>
          <w:color w:val="000000"/>
        </w:rPr>
        <w:t xml:space="preserve">urge HUD to engage openly and intentionally with a broad base of stakeholders to reassess this chapter in its currently proposed version. Transparency and thorough dialogue are necessary to ensure that the final product be a credible and reliable document.  </w:t>
      </w:r>
      <w:r w:rsidRPr="00507E06">
        <w:rPr>
          <w:color w:val="000000"/>
        </w:rPr>
        <w:t xml:space="preserve"> </w:t>
      </w:r>
    </w:p>
    <w:p w:rsidR="00AF4926" w:rsidRPr="00507E06" w:rsidRDefault="00AF4926" w:rsidP="00AF4926">
      <w:pPr>
        <w:pStyle w:val="NoSpacing"/>
        <w:rPr>
          <w:rFonts w:eastAsia="Times New Roman"/>
          <w:color w:val="000000"/>
        </w:rPr>
      </w:pPr>
    </w:p>
    <w:p w:rsidR="00AF4926" w:rsidRDefault="00AF4926" w:rsidP="00AF4926">
      <w:pPr>
        <w:pStyle w:val="NoSpacing"/>
        <w:rPr>
          <w:rFonts w:eastAsia="Times New Roman"/>
          <w:color w:val="000000"/>
        </w:rPr>
      </w:pPr>
    </w:p>
    <w:p w:rsidR="00AF4926" w:rsidRPr="00A3312F" w:rsidRDefault="00AF4926" w:rsidP="00AF4926">
      <w:pPr>
        <w:pStyle w:val="NoSpacing"/>
        <w:rPr>
          <w:rFonts w:eastAsia="Times New Roman"/>
          <w:b/>
          <w:color w:val="000000"/>
        </w:rPr>
      </w:pPr>
      <w:r w:rsidRPr="00A3312F">
        <w:rPr>
          <w:rFonts w:eastAsia="Times New Roman"/>
          <w:b/>
          <w:color w:val="000000"/>
        </w:rPr>
        <w:t>Background on the History of the Rent Comparability Study</w:t>
      </w:r>
    </w:p>
    <w:p w:rsidR="00AF4926" w:rsidRDefault="00AF4926" w:rsidP="00AF4926">
      <w:pPr>
        <w:pStyle w:val="NoSpacing"/>
        <w:rPr>
          <w:rFonts w:eastAsia="Times New Roman"/>
          <w:color w:val="000000"/>
        </w:rPr>
      </w:pPr>
    </w:p>
    <w:p w:rsidR="00AF4926" w:rsidRDefault="00AF4926" w:rsidP="00AF4926">
      <w:pPr>
        <w:pStyle w:val="NoSpacing"/>
        <w:rPr>
          <w:rFonts w:eastAsia="Times New Roman"/>
          <w:color w:val="000000"/>
        </w:rPr>
      </w:pPr>
      <w:r>
        <w:rPr>
          <w:rFonts w:eastAsia="Times New Roman"/>
          <w:color w:val="000000"/>
        </w:rPr>
        <w:t xml:space="preserve">In the first years after enactment of MAHRAA, the Rent Comparability Study (RCS) was used primarily for determining which properties would be eligible to mark their rents up to market (and by how much), and which would have to go through a financial restructuring in order to bring their rents down to market. It was a re-baselining of rents used to ensure that the government was not paying excessive amounts of subsidy to properties with surplus reserves or overly inflated rents. The role of the RCS has expanded greatly over the years, and has become an almost universal method for establishing caps for all rent adjustments, without rebalancing its use in consideration of subsequent policy changes that have been implemented to reduce project reserves, repurpose residual receipts and other efforts to reduce federal outlays. </w:t>
      </w:r>
    </w:p>
    <w:p w:rsidR="00AF4926" w:rsidRDefault="00AF4926" w:rsidP="00AF4926">
      <w:pPr>
        <w:pStyle w:val="NoSpacing"/>
        <w:rPr>
          <w:rFonts w:eastAsia="Times New Roman"/>
          <w:color w:val="000000"/>
        </w:rPr>
      </w:pPr>
    </w:p>
    <w:p w:rsidR="00AF4926" w:rsidRDefault="00AF4926" w:rsidP="00AF4926">
      <w:pPr>
        <w:pStyle w:val="NoSpacing"/>
        <w:rPr>
          <w:rFonts w:eastAsia="Times New Roman"/>
          <w:color w:val="000000"/>
        </w:rPr>
      </w:pPr>
      <w:r>
        <w:rPr>
          <w:rFonts w:eastAsia="Times New Roman"/>
          <w:color w:val="000000"/>
        </w:rPr>
        <w:t xml:space="preserve">It should further be noted that the rent comparability study was specifically exempted under MAHRAA from application to Section 202 senior housing (and other properties, identified elsewhere in the guide under Option 4).  Yet HUD continues to force its use in all cases concerning budget-based rent adjustments, despite our insufficiently answered inquiries seeking justification, and regardless of our detailed challenges to and clearly articulated arguments against authority to sustain such practices.  </w:t>
      </w:r>
    </w:p>
    <w:p w:rsidR="00AF4926" w:rsidRDefault="00AF4926" w:rsidP="00AF4926">
      <w:pPr>
        <w:pStyle w:val="NoSpacing"/>
        <w:rPr>
          <w:rFonts w:eastAsia="Times New Roman"/>
          <w:color w:val="000000"/>
        </w:rPr>
      </w:pPr>
    </w:p>
    <w:p w:rsidR="00AF4926" w:rsidRPr="00A3312F" w:rsidRDefault="00AF4926" w:rsidP="00AF4926">
      <w:pPr>
        <w:shd w:val="clear" w:color="auto" w:fill="FFFFFF"/>
        <w:spacing w:before="100" w:beforeAutospacing="1" w:after="100" w:afterAutospacing="1"/>
        <w:rPr>
          <w:rFonts w:ascii="Times New Roman" w:eastAsia="Times New Roman" w:hAnsi="Times New Roman"/>
          <w:b/>
          <w:color w:val="000000"/>
          <w:sz w:val="24"/>
          <w:szCs w:val="24"/>
        </w:rPr>
      </w:pPr>
      <w:r>
        <w:rPr>
          <w:rFonts w:ascii="Times New Roman" w:eastAsia="Times New Roman" w:hAnsi="Times New Roman"/>
          <w:b/>
          <w:color w:val="000000"/>
          <w:sz w:val="24"/>
          <w:szCs w:val="24"/>
        </w:rPr>
        <w:t>Proposed Changes Characterized as “Minimal, Focusing Primarily on Process”</w:t>
      </w:r>
    </w:p>
    <w:p w:rsidR="00AF4926" w:rsidRPr="00507E06" w:rsidRDefault="00AF4926" w:rsidP="00AF4926">
      <w:pPr>
        <w:shd w:val="clear" w:color="auto" w:fill="FFFFFF"/>
        <w:spacing w:before="100" w:beforeAutospacing="1" w:after="100" w:afterAutospacing="1"/>
        <w:rPr>
          <w:rFonts w:ascii="Times New Roman" w:eastAsia="Times New Roman" w:hAnsi="Times New Roman" w:cs="Times New Roman"/>
          <w:color w:val="000000"/>
          <w:sz w:val="24"/>
          <w:szCs w:val="24"/>
        </w:rPr>
      </w:pPr>
      <w:r w:rsidRPr="00507E06">
        <w:rPr>
          <w:rFonts w:ascii="Times New Roman" w:eastAsia="Times New Roman" w:hAnsi="Times New Roman" w:cs="Times New Roman"/>
          <w:color w:val="000000"/>
          <w:sz w:val="24"/>
          <w:szCs w:val="24"/>
        </w:rPr>
        <w:t xml:space="preserve">The Department has proposed to revise Chapter 9 of the Section 8 Renewal Policy Guide that describes the process for creating and reviewing a rent comparability study.   On the Drafting Table site, </w:t>
      </w:r>
      <w:proofErr w:type="gramStart"/>
      <w:r w:rsidRPr="00507E06">
        <w:rPr>
          <w:rFonts w:ascii="Times New Roman" w:eastAsia="Times New Roman" w:hAnsi="Times New Roman" w:cs="Times New Roman"/>
          <w:color w:val="000000"/>
          <w:sz w:val="24"/>
          <w:szCs w:val="24"/>
        </w:rPr>
        <w:t>HUD  indicated</w:t>
      </w:r>
      <w:proofErr w:type="gramEnd"/>
      <w:r w:rsidRPr="00507E06">
        <w:rPr>
          <w:rFonts w:ascii="Times New Roman" w:eastAsia="Times New Roman" w:hAnsi="Times New Roman" w:cs="Times New Roman"/>
          <w:color w:val="000000"/>
          <w:sz w:val="24"/>
          <w:szCs w:val="24"/>
        </w:rPr>
        <w:t xml:space="preserve"> that revisions in Chapter 9 include: </w:t>
      </w:r>
    </w:p>
    <w:p w:rsidR="00AF4926" w:rsidRPr="00507E06" w:rsidRDefault="00AF4926" w:rsidP="00AF4926">
      <w:pPr>
        <w:pStyle w:val="ListParagraph"/>
        <w:numPr>
          <w:ilvl w:val="0"/>
          <w:numId w:val="1"/>
        </w:numPr>
        <w:shd w:val="clear" w:color="auto" w:fill="FFFFFF"/>
        <w:spacing w:before="100" w:beforeAutospacing="1" w:after="100" w:afterAutospacing="1"/>
        <w:rPr>
          <w:rFonts w:ascii="Times New Roman" w:eastAsia="Times New Roman" w:hAnsi="Times New Roman"/>
          <w:color w:val="000000"/>
          <w:sz w:val="24"/>
          <w:szCs w:val="24"/>
        </w:rPr>
      </w:pPr>
      <w:r w:rsidRPr="00507E06">
        <w:rPr>
          <w:rFonts w:ascii="Times New Roman" w:eastAsia="Times New Roman" w:hAnsi="Times New Roman"/>
          <w:color w:val="000000"/>
          <w:sz w:val="24"/>
          <w:szCs w:val="24"/>
        </w:rPr>
        <w:t>Enhancing the format and layout to include:  a roadmap that appraisers can use, reorganized appendices, separate concepts from the technical details and established an introduction for each section,</w:t>
      </w:r>
    </w:p>
    <w:p w:rsidR="00AF4926" w:rsidRPr="00507E06" w:rsidRDefault="00AF4926" w:rsidP="00AF4926">
      <w:pPr>
        <w:pStyle w:val="ListParagraph"/>
        <w:numPr>
          <w:ilvl w:val="0"/>
          <w:numId w:val="1"/>
        </w:numPr>
        <w:shd w:val="clear" w:color="auto" w:fill="FFFFFF"/>
        <w:spacing w:before="100" w:beforeAutospacing="1" w:after="100" w:afterAutospacing="1"/>
        <w:rPr>
          <w:rFonts w:ascii="Times New Roman" w:eastAsia="Times New Roman" w:hAnsi="Times New Roman"/>
          <w:color w:val="000000"/>
          <w:sz w:val="24"/>
          <w:szCs w:val="24"/>
        </w:rPr>
      </w:pPr>
      <w:r w:rsidRPr="00507E06">
        <w:rPr>
          <w:rFonts w:ascii="Times New Roman" w:eastAsia="Times New Roman" w:hAnsi="Times New Roman"/>
          <w:color w:val="000000"/>
          <w:sz w:val="24"/>
          <w:szCs w:val="24"/>
        </w:rPr>
        <w:t>Strengthen standards and criteria and procedures that include:  stronger narrative requirements, clearer definition of “nominal”, an updated RCS sample, and communication protocols,</w:t>
      </w:r>
    </w:p>
    <w:p w:rsidR="00AF4926" w:rsidRPr="00507E06" w:rsidRDefault="00AF4926" w:rsidP="00AF4926">
      <w:pPr>
        <w:pStyle w:val="ListParagraph"/>
        <w:numPr>
          <w:ilvl w:val="0"/>
          <w:numId w:val="1"/>
        </w:numPr>
        <w:shd w:val="clear" w:color="auto" w:fill="FFFFFF"/>
        <w:spacing w:before="100" w:beforeAutospacing="1" w:after="100" w:afterAutospacing="1"/>
        <w:rPr>
          <w:rFonts w:ascii="Times New Roman" w:eastAsia="Times New Roman" w:hAnsi="Times New Roman"/>
          <w:color w:val="000000"/>
          <w:sz w:val="24"/>
          <w:szCs w:val="24"/>
        </w:rPr>
      </w:pPr>
      <w:r w:rsidRPr="00507E06">
        <w:rPr>
          <w:rFonts w:ascii="Times New Roman" w:eastAsia="Times New Roman" w:hAnsi="Times New Roman"/>
          <w:color w:val="000000"/>
          <w:sz w:val="24"/>
          <w:szCs w:val="24"/>
        </w:rPr>
        <w:t>Established tools and techniques that include:  a mandatory market rent threshold (140% benchmark), revised checklists for reviewers, minimum qualifications for non-appraiser reviewers, triggers for a second review.</w:t>
      </w:r>
    </w:p>
    <w:p w:rsidR="00AF4926" w:rsidRDefault="00AF4926" w:rsidP="00AF4926">
      <w:pPr>
        <w:spacing w:before="100" w:beforeAutospacing="1" w:after="100" w:afterAutospacing="1"/>
        <w:rPr>
          <w:rFonts w:ascii="Times New Roman" w:eastAsia="Times New Roman" w:hAnsi="Times New Roman"/>
          <w:color w:val="000000"/>
          <w:sz w:val="24"/>
          <w:szCs w:val="24"/>
        </w:rPr>
      </w:pPr>
      <w:r w:rsidRPr="00507E06">
        <w:rPr>
          <w:rFonts w:ascii="Times New Roman" w:eastAsia="Times New Roman" w:hAnsi="Times New Roman" w:cs="Times New Roman"/>
          <w:color w:val="000000"/>
          <w:sz w:val="24"/>
          <w:szCs w:val="24"/>
        </w:rPr>
        <w:t>In the RHIIP Listserv announcements, HUD describe</w:t>
      </w:r>
      <w:r>
        <w:rPr>
          <w:rFonts w:ascii="Times New Roman" w:eastAsia="Times New Roman" w:hAnsi="Times New Roman"/>
          <w:color w:val="000000"/>
          <w:sz w:val="24"/>
          <w:szCs w:val="24"/>
        </w:rPr>
        <w:t>d</w:t>
      </w:r>
      <w:r w:rsidRPr="00507E06">
        <w:rPr>
          <w:rFonts w:ascii="Times New Roman" w:eastAsia="Times New Roman" w:hAnsi="Times New Roman" w:cs="Times New Roman"/>
          <w:color w:val="000000"/>
          <w:sz w:val="24"/>
          <w:szCs w:val="24"/>
        </w:rPr>
        <w:t xml:space="preserve"> the </w:t>
      </w:r>
      <w:r w:rsidRPr="00507E06">
        <w:rPr>
          <w:rFonts w:ascii="Times New Roman" w:hAnsi="Times New Roman" w:cs="Times New Roman"/>
          <w:sz w:val="24"/>
          <w:szCs w:val="24"/>
        </w:rPr>
        <w:t xml:space="preserve">new </w:t>
      </w:r>
      <w:r w:rsidRPr="00507E06">
        <w:rPr>
          <w:rFonts w:ascii="Times New Roman" w:eastAsia="Times New Roman" w:hAnsi="Times New Roman" w:cs="Times New Roman"/>
          <w:color w:val="000000"/>
          <w:sz w:val="24"/>
          <w:szCs w:val="24"/>
        </w:rPr>
        <w:t>draft as having been “</w:t>
      </w:r>
      <w:r w:rsidRPr="00133408">
        <w:rPr>
          <w:rFonts w:ascii="Times New Roman" w:eastAsia="Times New Roman" w:hAnsi="Times New Roman" w:cs="Times New Roman"/>
          <w:i/>
          <w:color w:val="000000"/>
          <w:sz w:val="24"/>
          <w:szCs w:val="24"/>
        </w:rPr>
        <w:t>substantially reorganized, but contain[</w:t>
      </w:r>
      <w:proofErr w:type="spellStart"/>
      <w:r w:rsidRPr="00133408">
        <w:rPr>
          <w:rFonts w:ascii="Times New Roman" w:eastAsia="Times New Roman" w:hAnsi="Times New Roman" w:cs="Times New Roman"/>
          <w:i/>
          <w:color w:val="000000"/>
          <w:sz w:val="24"/>
          <w:szCs w:val="24"/>
        </w:rPr>
        <w:t>ing</w:t>
      </w:r>
      <w:proofErr w:type="spellEnd"/>
      <w:r w:rsidRPr="00133408">
        <w:rPr>
          <w:rFonts w:ascii="Times New Roman" w:eastAsia="Times New Roman" w:hAnsi="Times New Roman" w:cs="Times New Roman"/>
          <w:i/>
          <w:color w:val="000000"/>
          <w:sz w:val="24"/>
          <w:szCs w:val="24"/>
        </w:rPr>
        <w:t xml:space="preserve">] few changes in departmental policy.  Revisions </w:t>
      </w:r>
      <w:r w:rsidRPr="00133408">
        <w:rPr>
          <w:rFonts w:ascii="Times New Roman" w:eastAsia="Times New Roman" w:hAnsi="Times New Roman" w:cs="Times New Roman"/>
          <w:i/>
          <w:color w:val="000000"/>
          <w:sz w:val="24"/>
          <w:szCs w:val="24"/>
        </w:rPr>
        <w:lastRenderedPageBreak/>
        <w:t>include: organizing the material for each stakeholder group, requiring stronger narratives, updating the Sample RCS, and revised reviewer checklists</w:t>
      </w:r>
      <w:r w:rsidRPr="00507E06">
        <w:rPr>
          <w:rFonts w:ascii="Times New Roman" w:eastAsia="Times New Roman" w:hAnsi="Times New Roman" w:cs="Times New Roman"/>
          <w:color w:val="000000"/>
          <w:sz w:val="24"/>
          <w:szCs w:val="24"/>
        </w:rPr>
        <w:t>.”</w:t>
      </w:r>
    </w:p>
    <w:p w:rsidR="00AF4926" w:rsidRPr="00A3312F" w:rsidRDefault="00AF4926" w:rsidP="00AF4926">
      <w:pPr>
        <w:spacing w:before="100" w:beforeAutospacing="1" w:after="100" w:afterAutospacing="1"/>
        <w:rPr>
          <w:rFonts w:ascii="Times New Roman" w:eastAsia="Times New Roman" w:hAnsi="Times New Roman" w:cs="Times New Roman"/>
          <w:b/>
          <w:color w:val="000000"/>
          <w:sz w:val="24"/>
          <w:szCs w:val="24"/>
        </w:rPr>
      </w:pPr>
      <w:r>
        <w:rPr>
          <w:rFonts w:ascii="Times New Roman" w:eastAsia="Times New Roman" w:hAnsi="Times New Roman"/>
          <w:b/>
          <w:color w:val="000000"/>
          <w:sz w:val="24"/>
          <w:szCs w:val="24"/>
        </w:rPr>
        <w:t>Reasons for Our Concerns</w:t>
      </w:r>
    </w:p>
    <w:p w:rsidR="00AF4926" w:rsidRDefault="00AF4926" w:rsidP="00AF4926">
      <w:pPr>
        <w:spacing w:before="100" w:beforeAutospacing="1" w:after="100" w:afterAutospacing="1"/>
        <w:rPr>
          <w:rFonts w:ascii="Times New Roman" w:eastAsia="Times New Roman" w:hAnsi="Times New Roman"/>
          <w:color w:val="000000"/>
          <w:sz w:val="24"/>
          <w:szCs w:val="24"/>
        </w:rPr>
      </w:pPr>
      <w:r w:rsidRPr="00507E06">
        <w:rPr>
          <w:rFonts w:ascii="Times New Roman" w:eastAsia="Times New Roman" w:hAnsi="Times New Roman" w:cs="Times New Roman"/>
          <w:color w:val="000000"/>
          <w:sz w:val="24"/>
          <w:szCs w:val="24"/>
        </w:rPr>
        <w:t xml:space="preserve">Despite </w:t>
      </w:r>
      <w:r>
        <w:rPr>
          <w:rFonts w:ascii="Times New Roman" w:eastAsia="Times New Roman" w:hAnsi="Times New Roman"/>
          <w:color w:val="000000"/>
          <w:sz w:val="24"/>
          <w:szCs w:val="24"/>
        </w:rPr>
        <w:t>HUD’s</w:t>
      </w:r>
      <w:r w:rsidRPr="00507E06">
        <w:rPr>
          <w:rFonts w:ascii="Times New Roman" w:eastAsia="Times New Roman" w:hAnsi="Times New Roman" w:cs="Times New Roman"/>
          <w:color w:val="000000"/>
          <w:sz w:val="24"/>
          <w:szCs w:val="24"/>
        </w:rPr>
        <w:t xml:space="preserve"> characterizations</w:t>
      </w:r>
      <w:r w:rsidR="00872A8C">
        <w:rPr>
          <w:rFonts w:ascii="Times New Roman" w:eastAsia="Times New Roman" w:hAnsi="Times New Roman" w:cs="Times New Roman"/>
          <w:color w:val="000000"/>
          <w:sz w:val="24"/>
          <w:szCs w:val="24"/>
        </w:rPr>
        <w:t xml:space="preserve"> to the contrary</w:t>
      </w:r>
      <w:r w:rsidRPr="00507E06">
        <w:rPr>
          <w:rFonts w:ascii="Times New Roman" w:eastAsia="Times New Roman" w:hAnsi="Times New Roman" w:cs="Times New Roman"/>
          <w:color w:val="000000"/>
          <w:sz w:val="24"/>
          <w:szCs w:val="24"/>
        </w:rPr>
        <w:t>, we have found the proposed changes t</w:t>
      </w:r>
      <w:r>
        <w:rPr>
          <w:rFonts w:ascii="Times New Roman" w:eastAsia="Times New Roman" w:hAnsi="Times New Roman"/>
          <w:color w:val="000000"/>
          <w:sz w:val="24"/>
          <w:szCs w:val="24"/>
        </w:rPr>
        <w:t xml:space="preserve">o include significant expansion </w:t>
      </w:r>
      <w:r w:rsidRPr="00507E06">
        <w:rPr>
          <w:rFonts w:ascii="Times New Roman" w:eastAsia="Times New Roman" w:hAnsi="Times New Roman" w:cs="Times New Roman"/>
          <w:color w:val="000000"/>
          <w:sz w:val="24"/>
          <w:szCs w:val="24"/>
        </w:rPr>
        <w:t>of</w:t>
      </w:r>
      <w:r>
        <w:rPr>
          <w:rFonts w:ascii="Times New Roman" w:eastAsia="Times New Roman" w:hAnsi="Times New Roman"/>
          <w:color w:val="000000"/>
          <w:sz w:val="24"/>
          <w:szCs w:val="24"/>
        </w:rPr>
        <w:t xml:space="preserve"> policy, assertions of new benchmarks and thresholds, expanded authority for review by non-appraiser certified staff, and elimination of right to appeal such key components as the selection of comparable properties used in HUD commissioned studies.   All of this taken together seems designed to constrain the ability of properties to be truly evaluated against the market.  Our continued dismay that HUD policy denies congressional intent to exclude Option 4 properties from comparability, notwithstanding, these changes seem to further subvert the intent of congress that the rest o</w:t>
      </w:r>
      <w:bookmarkStart w:id="0" w:name="_GoBack"/>
      <w:bookmarkEnd w:id="0"/>
      <w:r>
        <w:rPr>
          <w:rFonts w:ascii="Times New Roman" w:eastAsia="Times New Roman" w:hAnsi="Times New Roman"/>
          <w:color w:val="000000"/>
          <w:sz w:val="24"/>
          <w:szCs w:val="24"/>
        </w:rPr>
        <w:t>f</w:t>
      </w:r>
      <w:r w:rsidR="00CC4450">
        <w:rPr>
          <w:rFonts w:ascii="Times New Roman" w:eastAsia="Times New Roman" w:hAnsi="Times New Roman"/>
          <w:color w:val="000000"/>
          <w:sz w:val="24"/>
          <w:szCs w:val="24"/>
        </w:rPr>
        <w:t xml:space="preserve"> the </w:t>
      </w:r>
      <w:r>
        <w:rPr>
          <w:rFonts w:ascii="Times New Roman" w:eastAsia="Times New Roman" w:hAnsi="Times New Roman"/>
          <w:color w:val="000000"/>
          <w:sz w:val="24"/>
          <w:szCs w:val="24"/>
        </w:rPr>
        <w:t xml:space="preserve"> multifamily assisted housing portfolio be both evaluated and supported fairly, consistent with  true market forces. </w:t>
      </w:r>
    </w:p>
    <w:p w:rsidR="00AF4926" w:rsidRDefault="00AF4926" w:rsidP="00AF4926">
      <w:pPr>
        <w:spacing w:before="100" w:beforeAutospacing="1" w:after="100" w:afterAutospacing="1"/>
        <w:rPr>
          <w:rFonts w:ascii="Times New Roman" w:hAnsi="Times New Roman"/>
          <w:sz w:val="24"/>
          <w:szCs w:val="24"/>
        </w:rPr>
      </w:pPr>
      <w:r>
        <w:rPr>
          <w:rFonts w:ascii="Times New Roman" w:eastAsia="Times New Roman" w:hAnsi="Times New Roman"/>
          <w:color w:val="000000"/>
          <w:sz w:val="24"/>
          <w:szCs w:val="24"/>
        </w:rPr>
        <w:t xml:space="preserve">Our detailed comments and recommendations can be found in the grid attached, but some examples of these concerns include the insertion of thresholds or benchmarks for adjustments (usually set at $10, for such items as inclusion of certain appliances (air conditioning, microwaves or dishwashers), balconies, patios, etc.) and an apparent </w:t>
      </w:r>
      <w:r w:rsidRPr="00507E06">
        <w:rPr>
          <w:rFonts w:ascii="Times New Roman" w:hAnsi="Times New Roman" w:cs="Times New Roman"/>
          <w:sz w:val="24"/>
          <w:szCs w:val="24"/>
        </w:rPr>
        <w:t>cap of “no more than $30 total for the 4 line items which comprise non</w:t>
      </w:r>
      <w:r>
        <w:rPr>
          <w:rFonts w:ascii="Times New Roman" w:hAnsi="Times New Roman"/>
          <w:sz w:val="24"/>
          <w:szCs w:val="24"/>
        </w:rPr>
        <w:t xml:space="preserve">-shelter services” (including adjustment thresholds of $10 for existence of service coordination, business centers and neighborhood networks), and the </w:t>
      </w:r>
      <w:r w:rsidRPr="00B17081">
        <w:rPr>
          <w:rFonts w:ascii="Times New Roman" w:hAnsi="Times New Roman"/>
          <w:sz w:val="24"/>
          <w:szCs w:val="24"/>
        </w:rPr>
        <w:t xml:space="preserve">erroneous assertion that "it is unusual for a project to offer more than two or three distinct categories of non-shelter services."      </w:t>
      </w:r>
    </w:p>
    <w:p w:rsidR="00AF4926" w:rsidRDefault="00AF4926" w:rsidP="00AF4926">
      <w:pPr>
        <w:spacing w:before="100" w:beforeAutospacing="1" w:after="100" w:afterAutospacing="1"/>
        <w:rPr>
          <w:rFonts w:ascii="Times New Roman" w:hAnsi="Times New Roman"/>
          <w:sz w:val="24"/>
          <w:szCs w:val="24"/>
        </w:rPr>
      </w:pPr>
      <w:r>
        <w:rPr>
          <w:rFonts w:ascii="Times New Roman" w:eastAsia="Times New Roman" w:hAnsi="Times New Roman"/>
          <w:color w:val="000000"/>
          <w:sz w:val="24"/>
          <w:szCs w:val="24"/>
        </w:rPr>
        <w:t>Not all changes are necessarily objectionable, but may still need work.  For example, a</w:t>
      </w:r>
      <w:r w:rsidRPr="00507E06">
        <w:rPr>
          <w:rFonts w:ascii="Times New Roman" w:eastAsia="Times New Roman" w:hAnsi="Times New Roman" w:cs="Times New Roman"/>
          <w:color w:val="000000"/>
          <w:sz w:val="24"/>
          <w:szCs w:val="24"/>
        </w:rPr>
        <w:t xml:space="preserve">ddition of "Acceptable (A)" as new rating for condition/street appeal </w:t>
      </w:r>
      <w:r>
        <w:rPr>
          <w:rFonts w:ascii="Times New Roman" w:eastAsia="Times New Roman" w:hAnsi="Times New Roman"/>
          <w:color w:val="000000"/>
          <w:sz w:val="24"/>
          <w:szCs w:val="24"/>
        </w:rPr>
        <w:t>sounds good and reasonable.  However, t</w:t>
      </w:r>
      <w:r w:rsidRPr="00507E06">
        <w:rPr>
          <w:rFonts w:ascii="Times New Roman" w:eastAsia="Times New Roman" w:hAnsi="Times New Roman" w:cs="Times New Roman"/>
          <w:color w:val="000000"/>
          <w:sz w:val="24"/>
          <w:szCs w:val="24"/>
        </w:rPr>
        <w:t xml:space="preserve">he additional statement "no other classifications are acceptable" (beyond Excellent, Good, Average, Fair, or Poor) suggests that there have previously been problems with the rating scale.   </w:t>
      </w:r>
      <w:r>
        <w:rPr>
          <w:rFonts w:ascii="Times New Roman" w:eastAsia="Times New Roman" w:hAnsi="Times New Roman"/>
          <w:color w:val="000000"/>
          <w:sz w:val="24"/>
          <w:szCs w:val="24"/>
        </w:rPr>
        <w:t>While a</w:t>
      </w:r>
      <w:r w:rsidRPr="00507E06">
        <w:rPr>
          <w:rFonts w:ascii="Times New Roman" w:eastAsia="Times New Roman" w:hAnsi="Times New Roman" w:cs="Times New Roman"/>
          <w:color w:val="000000"/>
          <w:sz w:val="24"/>
          <w:szCs w:val="24"/>
        </w:rPr>
        <w:t xml:space="preserve">ttempts to ensure consistency in identical dollar amount of adjustment factors applied to </w:t>
      </w:r>
      <w:proofErr w:type="spellStart"/>
      <w:r w:rsidRPr="00507E06">
        <w:rPr>
          <w:rFonts w:ascii="Times New Roman" w:eastAsia="Times New Roman" w:hAnsi="Times New Roman" w:cs="Times New Roman"/>
          <w:color w:val="000000"/>
          <w:sz w:val="24"/>
          <w:szCs w:val="24"/>
        </w:rPr>
        <w:t>comparables</w:t>
      </w:r>
      <w:proofErr w:type="spellEnd"/>
      <w:r w:rsidRPr="00507E06">
        <w:rPr>
          <w:rFonts w:ascii="Times New Roman" w:eastAsia="Times New Roman" w:hAnsi="Times New Roman" w:cs="Times New Roman"/>
          <w:color w:val="000000"/>
          <w:sz w:val="24"/>
          <w:szCs w:val="24"/>
        </w:rPr>
        <w:t xml:space="preserve"> may be well-intentioned, </w:t>
      </w:r>
      <w:r>
        <w:rPr>
          <w:rFonts w:ascii="Times New Roman" w:eastAsia="Times New Roman" w:hAnsi="Times New Roman"/>
          <w:color w:val="000000"/>
          <w:sz w:val="24"/>
          <w:szCs w:val="24"/>
        </w:rPr>
        <w:t xml:space="preserve">appraisers </w:t>
      </w:r>
      <w:r w:rsidRPr="00507E06">
        <w:rPr>
          <w:rFonts w:ascii="Times New Roman" w:eastAsia="Times New Roman" w:hAnsi="Times New Roman" w:cs="Times New Roman"/>
          <w:color w:val="000000"/>
          <w:sz w:val="24"/>
          <w:szCs w:val="24"/>
        </w:rPr>
        <w:t xml:space="preserve">may not agree that the variable between one "excellent" property and another will always have the same dollar value.  This, too, should be thoroughly vetted with professional appraisers, before adoption.   </w:t>
      </w:r>
      <w:r w:rsidRPr="00B17081">
        <w:rPr>
          <w:rFonts w:ascii="Times New Roman" w:hAnsi="Times New Roman"/>
          <w:sz w:val="24"/>
          <w:szCs w:val="24"/>
        </w:rPr>
        <w:t xml:space="preserve">               </w:t>
      </w:r>
      <w:r>
        <w:rPr>
          <w:rFonts w:ascii="Times New Roman" w:hAnsi="Times New Roman"/>
          <w:sz w:val="24"/>
          <w:szCs w:val="24"/>
        </w:rPr>
        <w:t xml:space="preserve"> </w:t>
      </w:r>
    </w:p>
    <w:p w:rsidR="00AF4926" w:rsidRPr="00CF2E64" w:rsidRDefault="00AF4926" w:rsidP="00AF4926">
      <w:pPr>
        <w:spacing w:before="100" w:beforeAutospacing="1" w:after="100" w:afterAutospacing="1"/>
        <w:rPr>
          <w:rFonts w:ascii="Times New Roman" w:eastAsia="Times New Roman" w:hAnsi="Times New Roman"/>
          <w:b/>
          <w:color w:val="000000"/>
          <w:sz w:val="24"/>
          <w:szCs w:val="24"/>
        </w:rPr>
      </w:pPr>
      <w:r w:rsidRPr="00CF2E64">
        <w:rPr>
          <w:rFonts w:ascii="Times New Roman" w:hAnsi="Times New Roman"/>
          <w:b/>
          <w:sz w:val="24"/>
          <w:szCs w:val="24"/>
        </w:rPr>
        <w:t>The Unfortunate, Almost Ironic, Timing of Limiting Valuation of Services</w:t>
      </w:r>
    </w:p>
    <w:p w:rsidR="00535FB8" w:rsidRPr="00CF2E64" w:rsidRDefault="00535FB8" w:rsidP="00535FB8">
      <w:pPr>
        <w:spacing w:before="100" w:beforeAutospacing="1" w:after="100" w:afterAutospacing="1"/>
        <w:rPr>
          <w:rFonts w:ascii="Times New Roman" w:eastAsia="Times New Roman" w:hAnsi="Times New Roman"/>
          <w:color w:val="000000"/>
          <w:sz w:val="24"/>
          <w:szCs w:val="24"/>
        </w:rPr>
      </w:pPr>
      <w:r w:rsidRPr="00B17081">
        <w:rPr>
          <w:rFonts w:ascii="Times New Roman" w:eastAsia="Times New Roman" w:hAnsi="Times New Roman"/>
          <w:color w:val="000000"/>
          <w:sz w:val="24"/>
          <w:szCs w:val="24"/>
        </w:rPr>
        <w:t xml:space="preserve">It is especially unfortunate that proposals to cap valuation adjustments for non-shelter services are being made now, in light of the recently issued HUD notice of funding availability designed to promote and measure the value of enhanced service coordination and insertion of a part-time wellness nurse in up to 40 communities in up to 12 states across the country.  </w:t>
      </w:r>
      <w:r>
        <w:rPr>
          <w:rFonts w:ascii="Times New Roman" w:eastAsia="Times New Roman" w:hAnsi="Times New Roman"/>
          <w:color w:val="000000"/>
          <w:sz w:val="24"/>
          <w:szCs w:val="24"/>
        </w:rPr>
        <w:t xml:space="preserve">It is also ironic.  </w:t>
      </w:r>
      <w:r w:rsidRPr="00B17081">
        <w:rPr>
          <w:rFonts w:ascii="Times New Roman" w:eastAsia="Times New Roman" w:hAnsi="Times New Roman"/>
          <w:color w:val="000000"/>
          <w:sz w:val="24"/>
          <w:szCs w:val="24"/>
        </w:rPr>
        <w:t xml:space="preserve">LeadingAge, a major proponent of policies and practices designed to help seniors to successfully </w:t>
      </w:r>
      <w:r w:rsidRPr="00B17081">
        <w:rPr>
          <w:rFonts w:ascii="Times New Roman" w:eastAsia="Times New Roman" w:hAnsi="Times New Roman"/>
          <w:color w:val="000000"/>
          <w:sz w:val="24"/>
          <w:szCs w:val="24"/>
        </w:rPr>
        <w:lastRenderedPageBreak/>
        <w:t>age in community in their HUD-subsidized affordable senior housing residences</w:t>
      </w:r>
      <w:r>
        <w:rPr>
          <w:rFonts w:ascii="Times New Roman" w:hAnsi="Times New Roman"/>
          <w:sz w:val="24"/>
          <w:szCs w:val="24"/>
        </w:rPr>
        <w:t xml:space="preserve">, has been working collaboratively with </w:t>
      </w:r>
      <w:r w:rsidRPr="00CF2E64">
        <w:rPr>
          <w:rFonts w:ascii="Times New Roman" w:eastAsia="Times New Roman" w:hAnsi="Times New Roman"/>
          <w:color w:val="000000"/>
          <w:sz w:val="24"/>
          <w:szCs w:val="24"/>
        </w:rPr>
        <w:t>the department to promote applications to participate in the research demonstration. HUD should re</w:t>
      </w:r>
      <w:r>
        <w:rPr>
          <w:rFonts w:ascii="Times New Roman" w:eastAsia="Times New Roman" w:hAnsi="Times New Roman"/>
          <w:color w:val="000000"/>
          <w:sz w:val="24"/>
          <w:szCs w:val="24"/>
        </w:rPr>
        <w:t>evaluate the mixed messaging created by such assertions and re</w:t>
      </w:r>
      <w:r w:rsidRPr="00CF2E64">
        <w:rPr>
          <w:rFonts w:ascii="Times New Roman" w:eastAsia="Times New Roman" w:hAnsi="Times New Roman"/>
          <w:color w:val="000000"/>
          <w:sz w:val="24"/>
          <w:szCs w:val="24"/>
        </w:rPr>
        <w:t xml:space="preserve">move all reference to threshold caps that could </w:t>
      </w:r>
      <w:r>
        <w:rPr>
          <w:rFonts w:ascii="Times New Roman" w:eastAsia="Times New Roman" w:hAnsi="Times New Roman"/>
          <w:color w:val="000000"/>
          <w:sz w:val="24"/>
          <w:szCs w:val="24"/>
        </w:rPr>
        <w:t>o</w:t>
      </w:r>
      <w:r w:rsidRPr="00CF2E64">
        <w:rPr>
          <w:rFonts w:ascii="Times New Roman" w:eastAsia="Times New Roman" w:hAnsi="Times New Roman"/>
          <w:color w:val="000000"/>
          <w:sz w:val="24"/>
          <w:szCs w:val="24"/>
        </w:rPr>
        <w:t>therwise establish arbitrary limits on an appraiser's valuation of such services. </w:t>
      </w:r>
    </w:p>
    <w:p w:rsidR="00AF4926" w:rsidRPr="00261FC5" w:rsidRDefault="00AF4926" w:rsidP="00AF4926">
      <w:pPr>
        <w:spacing w:before="100" w:beforeAutospacing="1" w:after="100" w:afterAutospacing="1"/>
        <w:rPr>
          <w:rFonts w:ascii="Times New Roman" w:hAnsi="Times New Roman"/>
          <w:sz w:val="24"/>
          <w:szCs w:val="24"/>
        </w:rPr>
      </w:pPr>
      <w:r w:rsidRPr="00261FC5">
        <w:rPr>
          <w:rFonts w:ascii="Times New Roman" w:eastAsia="Times New Roman" w:hAnsi="Times New Roman"/>
          <w:color w:val="000000"/>
          <w:sz w:val="24"/>
          <w:szCs w:val="24"/>
        </w:rPr>
        <w:t>As reflected in our comments, there a number of supportive services programs (to include</w:t>
      </w:r>
      <w:r>
        <w:rPr>
          <w:rFonts w:ascii="Times New Roman" w:eastAsia="Times New Roman" w:hAnsi="Times New Roman"/>
          <w:color w:val="000000"/>
          <w:sz w:val="24"/>
          <w:szCs w:val="24"/>
        </w:rPr>
        <w:t xml:space="preserve"> </w:t>
      </w:r>
      <w:r w:rsidRPr="00261FC5">
        <w:rPr>
          <w:rFonts w:ascii="Times New Roman" w:eastAsia="Times New Roman" w:hAnsi="Times New Roman"/>
          <w:color w:val="000000"/>
          <w:sz w:val="24"/>
          <w:szCs w:val="24"/>
        </w:rPr>
        <w:t>nutrition support; health and wellness activities like intentional incorporation of  wellness nurse, education, screening, primary care, mental health care, medication management, telehealth, etc.; and  homemaker assistance and personal support that goes beyond housekeeping and laundry, but could include other things like shopping. . .often through partnerships with organizations that place staff onsite, often supported by fundraising, grants and/or nominal resident participation fees which do not begin to touch on the cost, let alone the value, of the service</w:t>
      </w:r>
      <w:r>
        <w:rPr>
          <w:rFonts w:ascii="Times New Roman" w:eastAsia="Times New Roman" w:hAnsi="Times New Roman"/>
          <w:color w:val="000000"/>
          <w:sz w:val="24"/>
          <w:szCs w:val="24"/>
        </w:rPr>
        <w:t xml:space="preserve">) </w:t>
      </w:r>
      <w:r>
        <w:rPr>
          <w:rFonts w:ascii="Times New Roman" w:hAnsi="Times New Roman"/>
          <w:sz w:val="24"/>
          <w:szCs w:val="24"/>
        </w:rPr>
        <w:t xml:space="preserve">blossoming across the country in low-income senior housing which can have </w:t>
      </w:r>
      <w:r w:rsidRPr="00261FC5">
        <w:rPr>
          <w:rFonts w:ascii="Times New Roman" w:hAnsi="Times New Roman"/>
          <w:sz w:val="24"/>
          <w:szCs w:val="24"/>
        </w:rPr>
        <w:t xml:space="preserve">significant impacts on the residents </w:t>
      </w:r>
      <w:r>
        <w:rPr>
          <w:rFonts w:ascii="Times New Roman" w:hAnsi="Times New Roman"/>
          <w:sz w:val="24"/>
          <w:szCs w:val="24"/>
        </w:rPr>
        <w:t xml:space="preserve">- </w:t>
      </w:r>
      <w:r w:rsidRPr="00261FC5">
        <w:rPr>
          <w:rFonts w:ascii="Times New Roman" w:hAnsi="Times New Roman"/>
          <w:sz w:val="24"/>
          <w:szCs w:val="24"/>
        </w:rPr>
        <w:t>not just in terms of improved quality of life, but also with the potential to have measurable impacts on demand for other federal, state, an</w:t>
      </w:r>
      <w:r>
        <w:rPr>
          <w:rFonts w:ascii="Times New Roman" w:hAnsi="Times New Roman"/>
          <w:sz w:val="24"/>
          <w:szCs w:val="24"/>
        </w:rPr>
        <w:t xml:space="preserve">d local government services, as has already been seen in recent research (in part funded by HUD) demonstrating the value of service coordination and other efforts which </w:t>
      </w:r>
      <w:r w:rsidRPr="00261FC5">
        <w:rPr>
          <w:rFonts w:ascii="Times New Roman" w:hAnsi="Times New Roman"/>
          <w:sz w:val="24"/>
          <w:szCs w:val="24"/>
        </w:rPr>
        <w:t>prevent unnecessary use of emergency room and hospital services and delay or prevent transfers to higher levels of care</w:t>
      </w:r>
      <w:r>
        <w:rPr>
          <w:rFonts w:ascii="Times New Roman" w:hAnsi="Times New Roman"/>
          <w:sz w:val="24"/>
          <w:szCs w:val="24"/>
        </w:rPr>
        <w:t>.</w:t>
      </w:r>
    </w:p>
    <w:p w:rsidR="00535FB8" w:rsidRDefault="00535FB8" w:rsidP="00AF4926">
      <w:pPr>
        <w:pStyle w:val="NoSpacing"/>
        <w:rPr>
          <w:rFonts w:eastAsia="Times New Roman"/>
          <w:color w:val="000000"/>
        </w:rPr>
      </w:pPr>
    </w:p>
    <w:p w:rsidR="00AF4926" w:rsidRPr="00507E06" w:rsidRDefault="00AF4926" w:rsidP="00AF4926">
      <w:pPr>
        <w:pStyle w:val="NoSpacing"/>
        <w:rPr>
          <w:rFonts w:eastAsia="Times New Roman"/>
          <w:color w:val="000000"/>
        </w:rPr>
      </w:pPr>
      <w:r>
        <w:rPr>
          <w:rFonts w:eastAsia="Times New Roman"/>
          <w:color w:val="000000"/>
        </w:rPr>
        <w:t xml:space="preserve">In closing, we </w:t>
      </w:r>
      <w:r w:rsidRPr="00507E06">
        <w:rPr>
          <w:color w:val="000000"/>
        </w:rPr>
        <w:t xml:space="preserve">respectfully </w:t>
      </w:r>
      <w:r>
        <w:rPr>
          <w:color w:val="000000"/>
        </w:rPr>
        <w:t xml:space="preserve">urge HUD to </w:t>
      </w:r>
      <w:r w:rsidRPr="00507E06">
        <w:rPr>
          <w:color w:val="000000"/>
        </w:rPr>
        <w:t>convene a small stakeholder group</w:t>
      </w:r>
      <w:r>
        <w:rPr>
          <w:color w:val="000000"/>
        </w:rPr>
        <w:t xml:space="preserve"> to ensure that future changes are developed in collaboration with willing participants to include housing providers, HUD program staff, real estate professionals and appraisers, as all have significant interest in assuring that the final product be a credible and reliable document, upon which so much is at stake.  </w:t>
      </w:r>
      <w:r w:rsidRPr="00507E06">
        <w:rPr>
          <w:color w:val="000000"/>
        </w:rPr>
        <w:t xml:space="preserve"> </w:t>
      </w:r>
    </w:p>
    <w:p w:rsidR="00AF4926" w:rsidRPr="00507E06" w:rsidRDefault="00AF4926" w:rsidP="00AF4926">
      <w:pPr>
        <w:spacing w:after="0"/>
        <w:jc w:val="both"/>
        <w:rPr>
          <w:rFonts w:ascii="Times New Roman" w:hAnsi="Times New Roman" w:cs="Times New Roman"/>
          <w:sz w:val="24"/>
          <w:szCs w:val="24"/>
        </w:rPr>
      </w:pPr>
    </w:p>
    <w:p w:rsidR="00AF4926" w:rsidRPr="00507E06" w:rsidRDefault="00AF4926" w:rsidP="00AF4926">
      <w:pPr>
        <w:spacing w:after="0"/>
        <w:jc w:val="both"/>
        <w:rPr>
          <w:rFonts w:ascii="Times New Roman" w:hAnsi="Times New Roman" w:cs="Times New Roman"/>
          <w:color w:val="000000"/>
          <w:sz w:val="24"/>
          <w:szCs w:val="24"/>
        </w:rPr>
      </w:pPr>
      <w:r w:rsidRPr="00507E06">
        <w:rPr>
          <w:rFonts w:ascii="Times New Roman" w:hAnsi="Times New Roman" w:cs="Times New Roman"/>
          <w:color w:val="000000"/>
          <w:sz w:val="24"/>
          <w:szCs w:val="24"/>
        </w:rPr>
        <w:t xml:space="preserve">Thank you for the opportunity to comment. Please contact </w:t>
      </w:r>
      <w:r>
        <w:rPr>
          <w:rFonts w:ascii="Times New Roman" w:hAnsi="Times New Roman"/>
          <w:color w:val="000000"/>
          <w:sz w:val="24"/>
          <w:szCs w:val="24"/>
        </w:rPr>
        <w:t>me</w:t>
      </w:r>
      <w:r w:rsidRPr="00507E06">
        <w:rPr>
          <w:rFonts w:ascii="Times New Roman" w:hAnsi="Times New Roman" w:cs="Times New Roman"/>
          <w:color w:val="000000"/>
          <w:sz w:val="24"/>
          <w:szCs w:val="24"/>
        </w:rPr>
        <w:t xml:space="preserve"> at </w:t>
      </w:r>
      <w:hyperlink r:id="rId12" w:history="1">
        <w:r w:rsidRPr="00507E06">
          <w:rPr>
            <w:rStyle w:val="Hyperlink"/>
            <w:rFonts w:ascii="Times New Roman" w:hAnsi="Times New Roman" w:cs="Times New Roman"/>
            <w:sz w:val="24"/>
            <w:szCs w:val="24"/>
          </w:rPr>
          <w:t>cbloom@leadingage.org</w:t>
        </w:r>
      </w:hyperlink>
      <w:r w:rsidRPr="00507E06">
        <w:rPr>
          <w:rFonts w:ascii="Times New Roman" w:hAnsi="Times New Roman" w:cs="Times New Roman"/>
          <w:color w:val="000000"/>
          <w:sz w:val="24"/>
          <w:szCs w:val="24"/>
        </w:rPr>
        <w:t xml:space="preserve"> or 202 508-9483 with any questions.</w:t>
      </w:r>
    </w:p>
    <w:p w:rsidR="00AF4926" w:rsidRPr="00507E06" w:rsidRDefault="00AF4926" w:rsidP="00AF4926">
      <w:pPr>
        <w:spacing w:after="0"/>
        <w:jc w:val="both"/>
        <w:rPr>
          <w:rFonts w:ascii="Times New Roman" w:hAnsi="Times New Roman" w:cs="Times New Roman"/>
          <w:color w:val="000000"/>
          <w:sz w:val="24"/>
          <w:szCs w:val="24"/>
        </w:rPr>
      </w:pPr>
    </w:p>
    <w:p w:rsidR="00AF4926" w:rsidRPr="00507E06" w:rsidRDefault="00AF4926" w:rsidP="00AF4926">
      <w:pPr>
        <w:spacing w:after="0"/>
        <w:jc w:val="both"/>
        <w:rPr>
          <w:rFonts w:ascii="Times New Roman" w:hAnsi="Times New Roman" w:cs="Times New Roman"/>
          <w:color w:val="000000"/>
          <w:sz w:val="24"/>
          <w:szCs w:val="24"/>
        </w:rPr>
      </w:pPr>
      <w:r w:rsidRPr="00507E06">
        <w:rPr>
          <w:rFonts w:ascii="Times New Roman" w:hAnsi="Times New Roman" w:cs="Times New Roman"/>
          <w:color w:val="000000"/>
          <w:sz w:val="24"/>
          <w:szCs w:val="24"/>
        </w:rPr>
        <w:t>Sincerely,</w:t>
      </w:r>
    </w:p>
    <w:p w:rsidR="00AF4926" w:rsidRPr="00507E06" w:rsidRDefault="00AF4926" w:rsidP="00AF4926">
      <w:pPr>
        <w:spacing w:after="0"/>
        <w:jc w:val="both"/>
        <w:rPr>
          <w:rFonts w:ascii="Times New Roman" w:hAnsi="Times New Roman" w:cs="Times New Roman"/>
          <w:color w:val="000000"/>
          <w:sz w:val="24"/>
          <w:szCs w:val="24"/>
        </w:rPr>
      </w:pPr>
    </w:p>
    <w:p w:rsidR="00AF4926" w:rsidRPr="00507E06" w:rsidRDefault="00AF4926" w:rsidP="00AF4926">
      <w:pPr>
        <w:shd w:val="clear" w:color="auto" w:fill="FFFFFF"/>
        <w:spacing w:before="100" w:beforeAutospacing="1" w:after="100" w:afterAutospacing="1" w:line="195" w:lineRule="atLeast"/>
        <w:rPr>
          <w:rStyle w:val="yiv8801125199"/>
          <w:rFonts w:ascii="Times New Roman" w:hAnsi="Times New Roman" w:cs="Times New Roman"/>
          <w:sz w:val="24"/>
          <w:szCs w:val="24"/>
        </w:rPr>
      </w:pPr>
      <w:r>
        <w:rPr>
          <w:rStyle w:val="yiv8801125199"/>
          <w:rFonts w:ascii="Times New Roman" w:hAnsi="Times New Roman"/>
          <w:sz w:val="24"/>
          <w:szCs w:val="24"/>
        </w:rPr>
        <w:t>Colleen Bloom</w:t>
      </w:r>
      <w:r>
        <w:rPr>
          <w:rStyle w:val="yiv8801125199"/>
          <w:rFonts w:ascii="Times New Roman" w:hAnsi="Times New Roman"/>
          <w:sz w:val="24"/>
          <w:szCs w:val="24"/>
        </w:rPr>
        <w:br/>
        <w:t>Director, Housing Operations</w:t>
      </w:r>
      <w:r>
        <w:rPr>
          <w:rStyle w:val="yiv8801125199"/>
          <w:rFonts w:ascii="Times New Roman" w:hAnsi="Times New Roman"/>
          <w:sz w:val="24"/>
          <w:szCs w:val="24"/>
        </w:rPr>
        <w:br/>
      </w:r>
    </w:p>
    <w:p w:rsidR="00535FB8" w:rsidRDefault="00535FB8">
      <w:r>
        <w:br w:type="page"/>
      </w:r>
    </w:p>
    <w:p w:rsidR="00662B3B" w:rsidRPr="008D0CBE" w:rsidRDefault="00535FB8" w:rsidP="00662B3B">
      <w:pPr>
        <w:rPr>
          <w:rFonts w:ascii="Times New Roman" w:hAnsi="Times New Roman" w:cs="Times New Roman"/>
          <w:b/>
        </w:rPr>
      </w:pPr>
      <w:r w:rsidRPr="008D0CBE">
        <w:rPr>
          <w:rFonts w:ascii="Times New Roman" w:hAnsi="Times New Roman" w:cs="Times New Roman"/>
          <w:b/>
          <w:color w:val="000000"/>
        </w:rPr>
        <w:lastRenderedPageBreak/>
        <w:t xml:space="preserve">Reformatted </w:t>
      </w:r>
      <w:r w:rsidR="00662B3B" w:rsidRPr="008D0CBE">
        <w:rPr>
          <w:rFonts w:ascii="Times New Roman" w:hAnsi="Times New Roman" w:cs="Times New Roman"/>
          <w:b/>
        </w:rPr>
        <w:t>Email</w:t>
      </w:r>
      <w:r w:rsidR="008D0CBE">
        <w:rPr>
          <w:rFonts w:ascii="Times New Roman" w:hAnsi="Times New Roman" w:cs="Times New Roman"/>
          <w:b/>
        </w:rPr>
        <w:t xml:space="preserve"> and </w:t>
      </w:r>
      <w:r w:rsidR="008D0CBE" w:rsidRPr="008D0CBE">
        <w:rPr>
          <w:rFonts w:ascii="Times New Roman" w:hAnsi="Times New Roman" w:cs="Times New Roman"/>
          <w:b/>
        </w:rPr>
        <w:t xml:space="preserve">Line-by-Line </w:t>
      </w:r>
      <w:r w:rsidR="008D0CBE">
        <w:rPr>
          <w:rFonts w:ascii="Times New Roman" w:hAnsi="Times New Roman" w:cs="Times New Roman"/>
          <w:b/>
        </w:rPr>
        <w:t>C</w:t>
      </w:r>
      <w:r w:rsidR="008D0CBE" w:rsidRPr="008D0CBE">
        <w:rPr>
          <w:rFonts w:ascii="Times New Roman" w:hAnsi="Times New Roman" w:cs="Times New Roman"/>
          <w:b/>
        </w:rPr>
        <w:t>ommentary:</w:t>
      </w:r>
    </w:p>
    <w:p w:rsidR="00662B3B" w:rsidRPr="00662B3B" w:rsidRDefault="00662B3B" w:rsidP="00662B3B">
      <w:pPr>
        <w:rPr>
          <w:rFonts w:ascii="Times New Roman" w:hAnsi="Times New Roman" w:cs="Times New Roman"/>
        </w:rPr>
      </w:pPr>
      <w:r w:rsidRPr="00662B3B">
        <w:rPr>
          <w:rFonts w:ascii="Times New Roman" w:hAnsi="Times New Roman" w:cs="Times New Roman"/>
        </w:rPr>
        <w:t>Thank you for posting the proposed changed document to the Drafting Table for comment.</w:t>
      </w:r>
    </w:p>
    <w:p w:rsidR="00662B3B" w:rsidRPr="00662B3B" w:rsidRDefault="00662B3B" w:rsidP="00662B3B">
      <w:pPr>
        <w:rPr>
          <w:rFonts w:ascii="Times New Roman" w:hAnsi="Times New Roman" w:cs="Times New Roman"/>
          <w:color w:val="000000"/>
        </w:rPr>
      </w:pPr>
      <w:r w:rsidRPr="00662B3B">
        <w:rPr>
          <w:rFonts w:ascii="Times New Roman" w:hAnsi="Times New Roman" w:cs="Times New Roman"/>
          <w:color w:val="000000"/>
        </w:rPr>
        <w:t>We appreciate the effort of the department to update its guidance and to reorganize elements within it, consistent with its efforts to improve business processes and consistency in the field.  </w:t>
      </w:r>
      <w:proofErr w:type="gramStart"/>
      <w:r w:rsidRPr="00662B3B">
        <w:rPr>
          <w:rFonts w:ascii="Times New Roman" w:hAnsi="Times New Roman" w:cs="Times New Roman"/>
          <w:color w:val="000000"/>
        </w:rPr>
        <w:t>And to solicit feedback in writing to the proposal.</w:t>
      </w:r>
      <w:proofErr w:type="gramEnd"/>
    </w:p>
    <w:p w:rsidR="00662B3B" w:rsidRPr="00662B3B" w:rsidRDefault="00662B3B" w:rsidP="00662B3B">
      <w:pPr>
        <w:rPr>
          <w:rFonts w:ascii="Times New Roman" w:hAnsi="Times New Roman" w:cs="Times New Roman"/>
          <w:color w:val="000000"/>
        </w:rPr>
      </w:pPr>
      <w:r w:rsidRPr="00662B3B">
        <w:rPr>
          <w:rFonts w:ascii="Times New Roman" w:hAnsi="Times New Roman" w:cs="Times New Roman"/>
          <w:color w:val="000000"/>
        </w:rPr>
        <w:t>However, for the various reasons we address in our attached letter and the specific line-item comments, we urge HUD to engage openly and intentionally with a broad base of stakeholders to reassess this chapter in its currently proposed version prior to making further changes or scheduling for implementation.</w:t>
      </w:r>
    </w:p>
    <w:p w:rsidR="00662B3B" w:rsidRPr="00662B3B" w:rsidRDefault="00662B3B" w:rsidP="00662B3B">
      <w:pPr>
        <w:tabs>
          <w:tab w:val="left" w:pos="1390"/>
          <w:tab w:val="left" w:pos="2014"/>
          <w:tab w:val="left" w:pos="2975"/>
        </w:tabs>
        <w:rPr>
          <w:rFonts w:ascii="Times New Roman" w:hAnsi="Times New Roman" w:cs="Times New Roman"/>
          <w:b/>
          <w:color w:val="000000"/>
        </w:rPr>
      </w:pPr>
      <w:r w:rsidRPr="00662B3B">
        <w:rPr>
          <w:rFonts w:ascii="Times New Roman" w:hAnsi="Times New Roman" w:cs="Times New Roman"/>
          <w:b/>
          <w:color w:val="000000"/>
        </w:rPr>
        <w:t xml:space="preserve">Section 9-9C: </w:t>
      </w:r>
      <w:r w:rsidRPr="00662B3B">
        <w:rPr>
          <w:rFonts w:ascii="Times New Roman" w:hAnsi="Times New Roman" w:cs="Times New Roman"/>
          <w:b/>
          <w:color w:val="000000"/>
        </w:rPr>
        <w:tab/>
        <w:t>Page 10 Line 369</w:t>
      </w:r>
      <w:r w:rsidRPr="00662B3B">
        <w:rPr>
          <w:rFonts w:ascii="Times New Roman" w:hAnsi="Times New Roman" w:cs="Times New Roman"/>
          <w:b/>
          <w:color w:val="000000"/>
        </w:rPr>
        <w:br/>
      </w:r>
      <w:r w:rsidRPr="00662B3B">
        <w:rPr>
          <w:rFonts w:ascii="Times New Roman" w:hAnsi="Times New Roman" w:cs="Times New Roman"/>
          <w:color w:val="000000"/>
        </w:rPr>
        <w:t xml:space="preserve">Glad to see "must identify all amenities </w:t>
      </w:r>
      <w:r w:rsidRPr="00662B3B">
        <w:rPr>
          <w:rFonts w:ascii="Times New Roman" w:hAnsi="Times New Roman" w:cs="Times New Roman"/>
          <w:i/>
          <w:iCs/>
          <w:color w:val="000000"/>
        </w:rPr>
        <w:t>and services"(</w:t>
      </w:r>
      <w:r w:rsidRPr="00662B3B">
        <w:rPr>
          <w:rFonts w:ascii="Times New Roman" w:hAnsi="Times New Roman" w:cs="Times New Roman"/>
          <w:color w:val="000000"/>
        </w:rPr>
        <w:t>emphasis ours) in lead paragraph (as opposed to former "project characteristics")</w:t>
      </w:r>
    </w:p>
    <w:p w:rsidR="00662B3B" w:rsidRPr="00662B3B" w:rsidRDefault="00662B3B" w:rsidP="008D0CBE">
      <w:pPr>
        <w:tabs>
          <w:tab w:val="left" w:pos="1390"/>
          <w:tab w:val="left" w:pos="2014"/>
          <w:tab w:val="left" w:pos="2975"/>
        </w:tabs>
        <w:rPr>
          <w:rFonts w:ascii="Times New Roman" w:hAnsi="Times New Roman" w:cs="Times New Roman"/>
          <w:color w:val="000000"/>
        </w:rPr>
      </w:pPr>
      <w:r w:rsidRPr="00662B3B">
        <w:rPr>
          <w:rFonts w:ascii="Times New Roman" w:hAnsi="Times New Roman" w:cs="Times New Roman"/>
          <w:b/>
          <w:color w:val="000000"/>
        </w:rPr>
        <w:t>Section 9-9c2: Page 11 Line 375</w:t>
      </w:r>
      <w:r w:rsidRPr="00662B3B">
        <w:rPr>
          <w:rFonts w:ascii="Times New Roman" w:hAnsi="Times New Roman" w:cs="Times New Roman"/>
          <w:b/>
          <w:color w:val="000000"/>
        </w:rPr>
        <w:br/>
      </w:r>
      <w:r w:rsidRPr="00662B3B">
        <w:rPr>
          <w:rFonts w:ascii="Times New Roman" w:hAnsi="Times New Roman" w:cs="Times New Roman"/>
          <w:color w:val="000000"/>
        </w:rPr>
        <w:t xml:space="preserve">Correct typo: Reference at end of paragraph incorrectly cites Appendix 9-1-2, page 11 - should be page 15 - 16.  </w:t>
      </w:r>
      <w:r w:rsidRPr="00662B3B">
        <w:rPr>
          <w:rFonts w:ascii="Times New Roman" w:hAnsi="Times New Roman" w:cs="Times New Roman"/>
          <w:color w:val="000000"/>
        </w:rPr>
        <w:br/>
      </w:r>
      <w:r w:rsidRPr="00662B3B">
        <w:rPr>
          <w:rFonts w:ascii="Times New Roman" w:hAnsi="Times New Roman" w:cs="Times New Roman"/>
          <w:color w:val="000000"/>
        </w:rPr>
        <w:br/>
        <w:t xml:space="preserve">We appreciate the instruction emphasizing the appraiser pay attention to the differences that tenants would value as opposed to previous </w:t>
      </w:r>
      <w:proofErr w:type="spellStart"/>
      <w:r w:rsidRPr="00662B3B">
        <w:rPr>
          <w:rFonts w:ascii="Times New Roman" w:hAnsi="Times New Roman" w:cs="Times New Roman"/>
          <w:color w:val="000000"/>
        </w:rPr>
        <w:t>lanugage</w:t>
      </w:r>
      <w:proofErr w:type="spellEnd"/>
      <w:r w:rsidRPr="00662B3B">
        <w:rPr>
          <w:rFonts w:ascii="Times New Roman" w:hAnsi="Times New Roman" w:cs="Times New Roman"/>
          <w:color w:val="000000"/>
        </w:rPr>
        <w:t xml:space="preserve"> focusing on (and perhaps confusing the issue for the appraiser) provider and </w:t>
      </w:r>
      <w:proofErr w:type="spellStart"/>
      <w:r w:rsidRPr="00662B3B">
        <w:rPr>
          <w:rFonts w:ascii="Times New Roman" w:hAnsi="Times New Roman" w:cs="Times New Roman"/>
          <w:color w:val="000000"/>
        </w:rPr>
        <w:t>payor</w:t>
      </w:r>
      <w:proofErr w:type="spellEnd"/>
      <w:r w:rsidRPr="00662B3B">
        <w:rPr>
          <w:rFonts w:ascii="Times New Roman" w:hAnsi="Times New Roman" w:cs="Times New Roman"/>
          <w:color w:val="000000"/>
        </w:rPr>
        <w:t xml:space="preserve"> for the services.   </w:t>
      </w:r>
      <w:r w:rsidRPr="00662B3B">
        <w:rPr>
          <w:rFonts w:ascii="Times New Roman" w:hAnsi="Times New Roman" w:cs="Times New Roman"/>
        </w:rPr>
        <w:t xml:space="preserve">NOTE HOWEVER, when it comes to valuing the differences, instructions in referenced Appendix 9-1-2 incorrectly portray potential scope, number and type of services - and introduce a cap that we strongly disagree with and will address in that section comment.  </w:t>
      </w:r>
    </w:p>
    <w:p w:rsidR="00662B3B" w:rsidRPr="00662B3B" w:rsidRDefault="00662B3B" w:rsidP="008D0CBE">
      <w:pPr>
        <w:tabs>
          <w:tab w:val="left" w:pos="1390"/>
          <w:tab w:val="left" w:pos="2014"/>
          <w:tab w:val="left" w:pos="2975"/>
        </w:tabs>
        <w:rPr>
          <w:rFonts w:ascii="Times New Roman" w:hAnsi="Times New Roman" w:cs="Times New Roman"/>
          <w:color w:val="000000"/>
        </w:rPr>
      </w:pPr>
      <w:r w:rsidRPr="00662B3B">
        <w:rPr>
          <w:rFonts w:ascii="Times New Roman" w:hAnsi="Times New Roman" w:cs="Times New Roman"/>
          <w:b/>
          <w:color w:val="000000"/>
        </w:rPr>
        <w:t>Section 9-9c3: Page 11 Line 386</w:t>
      </w:r>
      <w:r w:rsidRPr="00662B3B">
        <w:rPr>
          <w:rFonts w:ascii="Times New Roman" w:hAnsi="Times New Roman" w:cs="Times New Roman"/>
          <w:b/>
          <w:color w:val="000000"/>
        </w:rPr>
        <w:br/>
      </w:r>
      <w:r w:rsidRPr="00662B3B">
        <w:rPr>
          <w:rFonts w:ascii="Times New Roman" w:hAnsi="Times New Roman" w:cs="Times New Roman"/>
          <w:color w:val="000000"/>
        </w:rPr>
        <w:t xml:space="preserve">Expand list of potential services; clarify that this is </w:t>
      </w:r>
      <w:r w:rsidRPr="00662B3B">
        <w:rPr>
          <w:rFonts w:ascii="Times New Roman" w:hAnsi="Times New Roman" w:cs="Times New Roman"/>
          <w:i/>
          <w:iCs/>
          <w:color w:val="000000"/>
        </w:rPr>
        <w:t xml:space="preserve">not an all-inclusive list.  </w:t>
      </w:r>
      <w:r w:rsidRPr="00662B3B">
        <w:rPr>
          <w:rFonts w:ascii="Times New Roman" w:hAnsi="Times New Roman" w:cs="Times New Roman"/>
          <w:i/>
          <w:iCs/>
          <w:color w:val="000000"/>
        </w:rPr>
        <w:br/>
      </w:r>
      <w:r w:rsidRPr="00662B3B">
        <w:rPr>
          <w:rFonts w:ascii="Times New Roman" w:hAnsi="Times New Roman" w:cs="Times New Roman"/>
          <w:i/>
          <w:iCs/>
          <w:color w:val="000000"/>
        </w:rPr>
        <w:br/>
      </w:r>
      <w:r w:rsidRPr="00662B3B">
        <w:rPr>
          <w:rFonts w:ascii="Times New Roman" w:hAnsi="Times New Roman" w:cs="Times New Roman"/>
          <w:color w:val="000000"/>
        </w:rPr>
        <w:t xml:space="preserve">This section instructs appraiser to consider availability of a specific, defined list of </w:t>
      </w:r>
      <w:proofErr w:type="spellStart"/>
      <w:r w:rsidRPr="00662B3B">
        <w:rPr>
          <w:rFonts w:ascii="Times New Roman" w:hAnsi="Times New Roman" w:cs="Times New Roman"/>
          <w:color w:val="000000"/>
        </w:rPr>
        <w:t>of</w:t>
      </w:r>
      <w:proofErr w:type="spellEnd"/>
      <w:r w:rsidRPr="00662B3B">
        <w:rPr>
          <w:rFonts w:ascii="Times New Roman" w:hAnsi="Times New Roman" w:cs="Times New Roman"/>
          <w:color w:val="000000"/>
        </w:rPr>
        <w:t xml:space="preserve"> non-shelter services - i.e., emergency call systems, transportation, </w:t>
      </w:r>
      <w:proofErr w:type="spellStart"/>
      <w:r w:rsidRPr="00662B3B">
        <w:rPr>
          <w:rFonts w:ascii="Times New Roman" w:hAnsi="Times New Roman" w:cs="Times New Roman"/>
          <w:color w:val="000000"/>
        </w:rPr>
        <w:t>soecial</w:t>
      </w:r>
      <w:proofErr w:type="spellEnd"/>
      <w:r w:rsidRPr="00662B3B">
        <w:rPr>
          <w:rFonts w:ascii="Times New Roman" w:hAnsi="Times New Roman" w:cs="Times New Roman"/>
          <w:color w:val="000000"/>
        </w:rPr>
        <w:t xml:space="preserve"> or educational activities, service coordination, meal, laundry or housekeeping.  These reflect standard elements of senior housing from the minimum construction standards (call systems) and core Congregate Housing Services Program (CHSP) range of services.  However, as compiled and assessed in various recent studies of senior housing plus services, this list may be too limiting  and does not appear to allow for identification/recognition of the  "other supports and services" which are referenced in Notices h 99-12 and H 98-12 - nor incorporate/address the range of key requirements as incorporated into existing Assisted Living Conversion Program (ALCP) activities or the current HUD supportive services demonstration NOFA - that may be of "value" in the market.  Therefore, we recommend broadening the language to allow for the identification of such additional supports and services as may be available at or through arrangements made by the property including, but not limited to:</w:t>
      </w:r>
      <w:r w:rsidRPr="00662B3B">
        <w:rPr>
          <w:rFonts w:ascii="Times New Roman" w:hAnsi="Times New Roman" w:cs="Times New Roman"/>
          <w:color w:val="000000"/>
        </w:rPr>
        <w:br/>
        <w:t>•         Social and recreational activities</w:t>
      </w:r>
      <w:r w:rsidRPr="00662B3B">
        <w:rPr>
          <w:rFonts w:ascii="Times New Roman" w:hAnsi="Times New Roman" w:cs="Times New Roman"/>
          <w:color w:val="000000"/>
        </w:rPr>
        <w:br/>
        <w:t>•         Transportation</w:t>
      </w:r>
      <w:r w:rsidRPr="00662B3B">
        <w:rPr>
          <w:rFonts w:ascii="Times New Roman" w:hAnsi="Times New Roman" w:cs="Times New Roman"/>
          <w:color w:val="000000"/>
        </w:rPr>
        <w:br/>
      </w:r>
      <w:r w:rsidRPr="00662B3B">
        <w:rPr>
          <w:rFonts w:ascii="Times New Roman" w:hAnsi="Times New Roman" w:cs="Times New Roman"/>
          <w:color w:val="000000"/>
        </w:rPr>
        <w:lastRenderedPageBreak/>
        <w:t>•         Meals and nutrition support (as some properties have relationships with foodbanks or other programs that bring groceries to the property)</w:t>
      </w:r>
      <w:r w:rsidRPr="00662B3B">
        <w:rPr>
          <w:rFonts w:ascii="Times New Roman" w:hAnsi="Times New Roman" w:cs="Times New Roman"/>
          <w:color w:val="000000"/>
        </w:rPr>
        <w:br/>
        <w:t xml:space="preserve">•         Health and wellness (which could encompass several activities: including a wellness nurse, health related classes and education, screening, primary care, mental health care, medication management, telehealth, coordinated care management (like SASH), etc.) </w:t>
      </w:r>
      <w:r w:rsidRPr="00662B3B">
        <w:rPr>
          <w:rFonts w:ascii="Times New Roman" w:hAnsi="Times New Roman" w:cs="Times New Roman"/>
          <w:color w:val="000000"/>
        </w:rPr>
        <w:br/>
        <w:t>•         Homemaker assistance and personal support (which include housekeeping and laundry, but also include other things like shopping or other support as organized through partnerships with organizations that place staff onsite)</w:t>
      </w:r>
      <w:r w:rsidRPr="00662B3B">
        <w:rPr>
          <w:rFonts w:ascii="Times New Roman" w:hAnsi="Times New Roman" w:cs="Times New Roman"/>
          <w:color w:val="000000"/>
        </w:rPr>
        <w:br/>
        <w:t>•         Aging Services Technologies (which could encompass on-site health monitoring kiosks, or partnerships providing passive sensor and activity monitoring with technology providers and/or local universities, and advanced types of emergency call systems which go beyond original fixed location pull-cords, etc.)</w:t>
      </w:r>
    </w:p>
    <w:p w:rsidR="00662B3B" w:rsidRPr="00662B3B" w:rsidRDefault="00662B3B" w:rsidP="008D0CBE">
      <w:pPr>
        <w:tabs>
          <w:tab w:val="left" w:pos="1390"/>
          <w:tab w:val="left" w:pos="2014"/>
          <w:tab w:val="left" w:pos="2975"/>
        </w:tabs>
        <w:rPr>
          <w:rFonts w:ascii="Times New Roman" w:hAnsi="Times New Roman" w:cs="Times New Roman"/>
          <w:color w:val="000000"/>
        </w:rPr>
      </w:pPr>
      <w:r w:rsidRPr="00662B3B">
        <w:rPr>
          <w:rFonts w:ascii="Times New Roman" w:hAnsi="Times New Roman" w:cs="Times New Roman"/>
          <w:b/>
          <w:color w:val="000000"/>
        </w:rPr>
        <w:t>Section 9-10 B1: Page 13 Line 485</w:t>
      </w:r>
      <w:r w:rsidRPr="00662B3B">
        <w:rPr>
          <w:rFonts w:ascii="Times New Roman" w:hAnsi="Times New Roman" w:cs="Times New Roman"/>
          <w:b/>
          <w:color w:val="000000"/>
        </w:rPr>
        <w:br/>
      </w:r>
      <w:proofErr w:type="gramStart"/>
      <w:r w:rsidRPr="00662B3B">
        <w:rPr>
          <w:rFonts w:ascii="Times New Roman" w:hAnsi="Times New Roman" w:cs="Times New Roman"/>
          <w:color w:val="000000"/>
        </w:rPr>
        <w:t>We</w:t>
      </w:r>
      <w:proofErr w:type="gramEnd"/>
      <w:r w:rsidRPr="00662B3B">
        <w:rPr>
          <w:rFonts w:ascii="Times New Roman" w:hAnsi="Times New Roman" w:cs="Times New Roman"/>
          <w:color w:val="000000"/>
        </w:rPr>
        <w:t xml:space="preserve"> appreciate inclusion of new language concerning minimum qualifications of non-state-certified ("non-appraiser") substantive reviewers to include successful completion of training within 12 </w:t>
      </w:r>
      <w:proofErr w:type="spellStart"/>
      <w:r w:rsidRPr="00662B3B">
        <w:rPr>
          <w:rFonts w:ascii="Times New Roman" w:hAnsi="Times New Roman" w:cs="Times New Roman"/>
          <w:color w:val="000000"/>
        </w:rPr>
        <w:t>mos</w:t>
      </w:r>
      <w:proofErr w:type="spellEnd"/>
      <w:r w:rsidRPr="00662B3B">
        <w:rPr>
          <w:rFonts w:ascii="Times New Roman" w:hAnsi="Times New Roman" w:cs="Times New Roman"/>
          <w:color w:val="000000"/>
        </w:rPr>
        <w:t xml:space="preserve"> of performing first substantive review.  This is a significant improvement over past guidance, which required only to have “read and understood” the chapter.</w:t>
      </w:r>
    </w:p>
    <w:p w:rsidR="00662B3B" w:rsidRPr="00662B3B" w:rsidRDefault="00662B3B" w:rsidP="008D0CBE">
      <w:pPr>
        <w:tabs>
          <w:tab w:val="left" w:pos="1390"/>
          <w:tab w:val="left" w:pos="2014"/>
          <w:tab w:val="left" w:pos="2975"/>
        </w:tabs>
        <w:rPr>
          <w:rFonts w:ascii="Times New Roman" w:hAnsi="Times New Roman" w:cs="Times New Roman"/>
          <w:color w:val="000000"/>
        </w:rPr>
      </w:pPr>
      <w:r w:rsidRPr="00662B3B">
        <w:rPr>
          <w:rFonts w:ascii="Times New Roman" w:hAnsi="Times New Roman" w:cs="Times New Roman"/>
          <w:b/>
          <w:color w:val="000000"/>
        </w:rPr>
        <w:t>Section 9-11 A3: Page 17 Line 653</w:t>
      </w:r>
      <w:r w:rsidRPr="00662B3B">
        <w:rPr>
          <w:rFonts w:ascii="Times New Roman" w:hAnsi="Times New Roman" w:cs="Times New Roman"/>
          <w:b/>
          <w:color w:val="000000"/>
        </w:rPr>
        <w:br/>
      </w:r>
      <w:r w:rsidRPr="00662B3B">
        <w:rPr>
          <w:rFonts w:ascii="Times New Roman" w:hAnsi="Times New Roman" w:cs="Times New Roman"/>
          <w:color w:val="000000"/>
        </w:rPr>
        <w:t xml:space="preserve">We are glad to see the imperative "must" in the instructions to determine if project provides non- shelter services, as we agree there is value in availability and coordination, regardless of provider or </w:t>
      </w:r>
      <w:proofErr w:type="spellStart"/>
      <w:r w:rsidRPr="00662B3B">
        <w:rPr>
          <w:rFonts w:ascii="Times New Roman" w:hAnsi="Times New Roman" w:cs="Times New Roman"/>
          <w:color w:val="000000"/>
        </w:rPr>
        <w:t>payor</w:t>
      </w:r>
      <w:proofErr w:type="spellEnd"/>
      <w:r w:rsidRPr="00662B3B">
        <w:rPr>
          <w:rFonts w:ascii="Times New Roman" w:hAnsi="Times New Roman" w:cs="Times New Roman"/>
          <w:color w:val="000000"/>
        </w:rPr>
        <w:t xml:space="preserve">.  However, statements about services "included in rent" vs "covered by an additional fee" may need further clarification. </w:t>
      </w:r>
      <w:r w:rsidRPr="00662B3B">
        <w:rPr>
          <w:rFonts w:ascii="Times New Roman" w:hAnsi="Times New Roman" w:cs="Times New Roman"/>
          <w:color w:val="000000"/>
        </w:rPr>
        <w:br/>
      </w:r>
      <w:r w:rsidRPr="00662B3B">
        <w:rPr>
          <w:rFonts w:ascii="Times New Roman" w:hAnsi="Times New Roman" w:cs="Times New Roman"/>
          <w:color w:val="000000"/>
        </w:rPr>
        <w:br/>
        <w:t xml:space="preserve">It is unclear whether "included in rent" means "no fee" services (like access to a budget-funded service coordinator) or if it could encompass universal access to on-site supports and services (health kiosks, 3rd party grant funded wellness nurses, use of portable personal safety monitoring systems, </w:t>
      </w:r>
      <w:proofErr w:type="spellStart"/>
      <w:r w:rsidRPr="00662B3B">
        <w:rPr>
          <w:rFonts w:ascii="Times New Roman" w:hAnsi="Times New Roman" w:cs="Times New Roman"/>
          <w:color w:val="000000"/>
        </w:rPr>
        <w:t>etc</w:t>
      </w:r>
      <w:proofErr w:type="spellEnd"/>
      <w:r w:rsidRPr="00662B3B">
        <w:rPr>
          <w:rFonts w:ascii="Times New Roman" w:hAnsi="Times New Roman" w:cs="Times New Roman"/>
          <w:color w:val="000000"/>
        </w:rPr>
        <w:t>) that require no direct per-person or per-usage payment of the resident; and if "covered by an additional fee" refers strictly to services approved add-on fees/collections (like for parking, mandatory meals or collections for renter insurance), or if it is meant to identify more generally whether there are out-of-pocket fees paid by residents on a recurring or per-use basis to the service provider, who may (or more likely may not) be the housing provider.   Are you trying to get at voluntary additional cost paid by the resident, beyond rent, for the service as/when accessed?   Then, as noted, still knowing there are programs and services available may have value, regardless of participation and/or out-of-pocket cost - as cost is likely to be less to the individual because of their participation in a cost-efficient community setting as opposed to private-pay in disconnected settings.  Yet the value of knowing services are available when/if/as needed should not be overlooked.</w:t>
      </w:r>
    </w:p>
    <w:p w:rsidR="00662B3B" w:rsidRPr="00662B3B" w:rsidRDefault="00662B3B" w:rsidP="008D0CBE">
      <w:pPr>
        <w:tabs>
          <w:tab w:val="left" w:pos="1390"/>
          <w:tab w:val="left" w:pos="2014"/>
          <w:tab w:val="left" w:pos="2975"/>
        </w:tabs>
        <w:rPr>
          <w:rFonts w:ascii="Times New Roman" w:hAnsi="Times New Roman" w:cs="Times New Roman"/>
          <w:color w:val="000000"/>
        </w:rPr>
      </w:pPr>
      <w:r w:rsidRPr="00662B3B">
        <w:rPr>
          <w:rFonts w:ascii="Times New Roman" w:hAnsi="Times New Roman" w:cs="Times New Roman"/>
          <w:b/>
          <w:color w:val="000000"/>
        </w:rPr>
        <w:t>Section 9-11 A3b: Page 17 Line 659</w:t>
      </w:r>
      <w:r w:rsidRPr="00662B3B">
        <w:rPr>
          <w:rFonts w:ascii="Times New Roman" w:hAnsi="Times New Roman" w:cs="Times New Roman"/>
          <w:b/>
          <w:color w:val="000000"/>
        </w:rPr>
        <w:br/>
      </w:r>
      <w:r w:rsidRPr="00662B3B">
        <w:rPr>
          <w:rFonts w:ascii="Times New Roman" w:hAnsi="Times New Roman" w:cs="Times New Roman"/>
          <w:color w:val="000000"/>
        </w:rPr>
        <w:t>The list of services provided here is limited, and needs to either be expanded (as noted above and consistent with our recommendations for 9-9 C3), or amended by adding a general "or other services" at the end of the short list.   We recommend further discussion with stakeholders.</w:t>
      </w:r>
    </w:p>
    <w:p w:rsidR="00662B3B" w:rsidRPr="00662B3B" w:rsidRDefault="00662B3B" w:rsidP="008D0CBE">
      <w:pPr>
        <w:tabs>
          <w:tab w:val="left" w:pos="1390"/>
          <w:tab w:val="left" w:pos="2014"/>
          <w:tab w:val="left" w:pos="2975"/>
        </w:tabs>
        <w:rPr>
          <w:rFonts w:ascii="Times New Roman" w:hAnsi="Times New Roman" w:cs="Times New Roman"/>
          <w:color w:val="000000"/>
        </w:rPr>
      </w:pPr>
      <w:r w:rsidRPr="00662B3B">
        <w:rPr>
          <w:rFonts w:ascii="Times New Roman" w:hAnsi="Times New Roman" w:cs="Times New Roman"/>
          <w:b/>
          <w:color w:val="000000"/>
        </w:rPr>
        <w:lastRenderedPageBreak/>
        <w:t>Section 9-14 C:  Page 24 Line 933</w:t>
      </w:r>
      <w:r w:rsidRPr="00662B3B">
        <w:rPr>
          <w:rFonts w:ascii="Times New Roman" w:hAnsi="Times New Roman" w:cs="Times New Roman"/>
          <w:b/>
          <w:color w:val="000000"/>
        </w:rPr>
        <w:br/>
      </w:r>
      <w:r w:rsidRPr="00662B3B">
        <w:rPr>
          <w:rFonts w:ascii="Times New Roman" w:hAnsi="Times New Roman" w:cs="Times New Roman"/>
          <w:color w:val="000000"/>
        </w:rPr>
        <w:t xml:space="preserve">Reverse the policy position/statement "There are no negotiations allowed nor is there an appeal process for differences between the two RCSs".  </w:t>
      </w:r>
      <w:r w:rsidRPr="00662B3B">
        <w:rPr>
          <w:rFonts w:ascii="Times New Roman" w:hAnsi="Times New Roman" w:cs="Times New Roman"/>
          <w:color w:val="000000"/>
        </w:rPr>
        <w:br/>
      </w:r>
      <w:r w:rsidRPr="00662B3B">
        <w:rPr>
          <w:rFonts w:ascii="Times New Roman" w:hAnsi="Times New Roman" w:cs="Times New Roman"/>
          <w:color w:val="000000"/>
        </w:rPr>
        <w:br/>
        <w:t xml:space="preserve">HUD policy in the paragraphs above (still in 9-14 C) creates an acceptable variance (of anything less than, and only up to 105% of the HUD study) for owner provided RCSs, but establishes/allows (by omission) an unlimited variance for HUD commissioned RCS.  There should be some general agreement in owner-provided and HUD commissioned RCS facts/figures, or else a negotiation should ensue to assure that properties are not unreasonably crippled by establishing a rent threshold too low as the result of unjustifiable  selection of </w:t>
      </w:r>
      <w:proofErr w:type="spellStart"/>
      <w:r w:rsidRPr="00662B3B">
        <w:rPr>
          <w:rFonts w:ascii="Times New Roman" w:hAnsi="Times New Roman" w:cs="Times New Roman"/>
          <w:color w:val="000000"/>
        </w:rPr>
        <w:t>comparables</w:t>
      </w:r>
      <w:proofErr w:type="spellEnd"/>
      <w:r w:rsidRPr="00662B3B">
        <w:rPr>
          <w:rFonts w:ascii="Times New Roman" w:hAnsi="Times New Roman" w:cs="Times New Roman"/>
          <w:color w:val="000000"/>
        </w:rPr>
        <w:t>, amount of adjustments of derivation of concluded rents.   Explanation, justification and mediation (if necessary) should be accepted parts of the process, in both directions.</w:t>
      </w:r>
    </w:p>
    <w:p w:rsidR="00662B3B" w:rsidRPr="00662B3B" w:rsidRDefault="00662B3B" w:rsidP="008D0CBE">
      <w:pPr>
        <w:tabs>
          <w:tab w:val="left" w:pos="1390"/>
          <w:tab w:val="left" w:pos="2014"/>
          <w:tab w:val="left" w:pos="2975"/>
        </w:tabs>
        <w:rPr>
          <w:rFonts w:ascii="Times New Roman" w:hAnsi="Times New Roman" w:cs="Times New Roman"/>
          <w:color w:val="000000"/>
        </w:rPr>
      </w:pPr>
      <w:r w:rsidRPr="00662B3B">
        <w:rPr>
          <w:rFonts w:ascii="Times New Roman" w:hAnsi="Times New Roman" w:cs="Times New Roman"/>
          <w:b/>
          <w:color w:val="000000"/>
        </w:rPr>
        <w:t>Section 9-15 A2b and B1: Page 27 Line 1028</w:t>
      </w:r>
      <w:r w:rsidRPr="00662B3B">
        <w:rPr>
          <w:rFonts w:ascii="Times New Roman" w:hAnsi="Times New Roman" w:cs="Times New Roman"/>
          <w:b/>
          <w:color w:val="000000"/>
        </w:rPr>
        <w:br/>
      </w:r>
      <w:proofErr w:type="gramStart"/>
      <w:r w:rsidRPr="00662B3B">
        <w:rPr>
          <w:rFonts w:ascii="Times New Roman" w:hAnsi="Times New Roman" w:cs="Times New Roman"/>
          <w:color w:val="000000"/>
        </w:rPr>
        <w:t>We</w:t>
      </w:r>
      <w:proofErr w:type="gramEnd"/>
      <w:r w:rsidRPr="00662B3B">
        <w:rPr>
          <w:rFonts w:ascii="Times New Roman" w:hAnsi="Times New Roman" w:cs="Times New Roman"/>
          <w:color w:val="000000"/>
        </w:rPr>
        <w:t xml:space="preserve"> appreciate inclusion of new language concerning minimum qualifications of non-state-certified ("non-appraiser") substantive reviewers to include successful completion of training within 12 </w:t>
      </w:r>
      <w:proofErr w:type="spellStart"/>
      <w:r w:rsidRPr="00662B3B">
        <w:rPr>
          <w:rFonts w:ascii="Times New Roman" w:hAnsi="Times New Roman" w:cs="Times New Roman"/>
          <w:color w:val="000000"/>
        </w:rPr>
        <w:t>mos</w:t>
      </w:r>
      <w:proofErr w:type="spellEnd"/>
      <w:r w:rsidRPr="00662B3B">
        <w:rPr>
          <w:rFonts w:ascii="Times New Roman" w:hAnsi="Times New Roman" w:cs="Times New Roman"/>
          <w:color w:val="000000"/>
        </w:rPr>
        <w:t xml:space="preserve"> of performing first substantive review.  This is a significant improvement over past language for staff having "read and understood" Chapter 9.  19-15 B1 instructions for assessments of </w:t>
      </w:r>
      <w:proofErr w:type="spellStart"/>
      <w:r w:rsidRPr="00662B3B">
        <w:rPr>
          <w:rFonts w:ascii="Times New Roman" w:hAnsi="Times New Roman" w:cs="Times New Roman"/>
          <w:color w:val="000000"/>
        </w:rPr>
        <w:t>of</w:t>
      </w:r>
      <w:proofErr w:type="spellEnd"/>
      <w:r w:rsidRPr="00662B3B">
        <w:rPr>
          <w:rFonts w:ascii="Times New Roman" w:hAnsi="Times New Roman" w:cs="Times New Roman"/>
          <w:color w:val="000000"/>
        </w:rPr>
        <w:t xml:space="preserve"> skills/training are also appreciated as significant responsibility and authority lies with the substantive reviewer.  Additional subsequent professional training on a regular/recurring basis (i.e., every two years?) and/or standards for frequency and quality assessments of substantive review submissions would further enhance this section.   We recommend a discussion with stakeholders to explore further.</w:t>
      </w:r>
    </w:p>
    <w:p w:rsidR="00662B3B" w:rsidRPr="00662B3B" w:rsidRDefault="00662B3B" w:rsidP="008D0CBE">
      <w:pPr>
        <w:tabs>
          <w:tab w:val="left" w:pos="1390"/>
          <w:tab w:val="left" w:pos="2014"/>
          <w:tab w:val="left" w:pos="2975"/>
        </w:tabs>
        <w:rPr>
          <w:rFonts w:ascii="Times New Roman" w:hAnsi="Times New Roman" w:cs="Times New Roman"/>
          <w:color w:val="000000"/>
        </w:rPr>
      </w:pPr>
      <w:r w:rsidRPr="00662B3B">
        <w:rPr>
          <w:rFonts w:ascii="Times New Roman" w:hAnsi="Times New Roman" w:cs="Times New Roman"/>
          <w:b/>
          <w:color w:val="000000"/>
        </w:rPr>
        <w:t>Section 9-16 A: Page 28 Line 1066</w:t>
      </w:r>
      <w:r w:rsidRPr="00662B3B">
        <w:rPr>
          <w:rFonts w:ascii="Times New Roman" w:hAnsi="Times New Roman" w:cs="Times New Roman"/>
          <w:b/>
          <w:color w:val="000000"/>
        </w:rPr>
        <w:br/>
      </w:r>
      <w:r w:rsidRPr="00662B3B">
        <w:rPr>
          <w:rFonts w:ascii="Times New Roman" w:hAnsi="Times New Roman" w:cs="Times New Roman"/>
          <w:color w:val="000000"/>
        </w:rPr>
        <w:t xml:space="preserve">Inclusion of standardized checklists for use by HUD and CA staff a </w:t>
      </w:r>
      <w:proofErr w:type="spellStart"/>
      <w:r w:rsidRPr="00662B3B">
        <w:rPr>
          <w:rFonts w:ascii="Times New Roman" w:hAnsi="Times New Roman" w:cs="Times New Roman"/>
          <w:color w:val="000000"/>
        </w:rPr>
        <w:t>signficant</w:t>
      </w:r>
      <w:proofErr w:type="spellEnd"/>
      <w:r w:rsidRPr="00662B3B">
        <w:rPr>
          <w:rFonts w:ascii="Times New Roman" w:hAnsi="Times New Roman" w:cs="Times New Roman"/>
          <w:color w:val="000000"/>
        </w:rPr>
        <w:t xml:space="preserve"> improvement over old 9-17A permissions to allow field and Contract </w:t>
      </w:r>
      <w:proofErr w:type="spellStart"/>
      <w:r w:rsidRPr="00662B3B">
        <w:rPr>
          <w:rFonts w:ascii="Times New Roman" w:hAnsi="Times New Roman" w:cs="Times New Roman"/>
          <w:color w:val="000000"/>
        </w:rPr>
        <w:t>Adminisrators</w:t>
      </w:r>
      <w:proofErr w:type="spellEnd"/>
      <w:r w:rsidRPr="00662B3B">
        <w:rPr>
          <w:rFonts w:ascii="Times New Roman" w:hAnsi="Times New Roman" w:cs="Times New Roman"/>
          <w:color w:val="000000"/>
        </w:rPr>
        <w:t xml:space="preserve"> to develop their own worksheets for review of completeness.  This should help improve consistency in processing and understanding of what constitutes a "complete package." </w:t>
      </w:r>
    </w:p>
    <w:p w:rsidR="00662B3B" w:rsidRPr="00662B3B" w:rsidRDefault="00662B3B" w:rsidP="008D0CBE">
      <w:pPr>
        <w:tabs>
          <w:tab w:val="left" w:pos="1390"/>
          <w:tab w:val="left" w:pos="2014"/>
          <w:tab w:val="left" w:pos="2975"/>
        </w:tabs>
        <w:rPr>
          <w:rFonts w:ascii="Times New Roman" w:hAnsi="Times New Roman" w:cs="Times New Roman"/>
          <w:color w:val="000000"/>
        </w:rPr>
      </w:pPr>
      <w:proofErr w:type="gramStart"/>
      <w:r w:rsidRPr="00662B3B">
        <w:rPr>
          <w:rFonts w:ascii="Times New Roman" w:hAnsi="Times New Roman" w:cs="Times New Roman"/>
          <w:b/>
          <w:color w:val="000000"/>
        </w:rPr>
        <w:t>Section  9</w:t>
      </w:r>
      <w:proofErr w:type="gramEnd"/>
      <w:r w:rsidRPr="00662B3B">
        <w:rPr>
          <w:rFonts w:ascii="Times New Roman" w:hAnsi="Times New Roman" w:cs="Times New Roman"/>
          <w:b/>
          <w:color w:val="000000"/>
        </w:rPr>
        <w:t>-16 B3b: Page 29 Line 1106</w:t>
      </w:r>
      <w:r w:rsidRPr="00662B3B">
        <w:rPr>
          <w:rFonts w:ascii="Times New Roman" w:hAnsi="Times New Roman" w:cs="Times New Roman"/>
          <w:b/>
          <w:color w:val="000000"/>
        </w:rPr>
        <w:br/>
      </w:r>
      <w:r w:rsidRPr="00662B3B">
        <w:rPr>
          <w:rFonts w:ascii="Times New Roman" w:hAnsi="Times New Roman" w:cs="Times New Roman"/>
          <w:color w:val="000000"/>
        </w:rPr>
        <w:t>Correct typo:  "$20 red" increase should be $20 rent increase</w:t>
      </w:r>
    </w:p>
    <w:p w:rsidR="00662B3B" w:rsidRPr="00662B3B" w:rsidRDefault="00662B3B" w:rsidP="008D0CBE">
      <w:pPr>
        <w:tabs>
          <w:tab w:val="left" w:pos="1390"/>
          <w:tab w:val="left" w:pos="2014"/>
          <w:tab w:val="left" w:pos="2975"/>
        </w:tabs>
        <w:rPr>
          <w:rFonts w:ascii="Times New Roman" w:hAnsi="Times New Roman" w:cs="Times New Roman"/>
          <w:color w:val="000000"/>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4 Line 34</w:t>
      </w:r>
      <w:r w:rsidRPr="00662B3B">
        <w:rPr>
          <w:rFonts w:ascii="Times New Roman" w:hAnsi="Times New Roman" w:cs="Times New Roman"/>
          <w:b/>
          <w:color w:val="000000"/>
        </w:rPr>
        <w:br/>
      </w:r>
      <w:r w:rsidRPr="00662B3B">
        <w:rPr>
          <w:rFonts w:ascii="Times New Roman" w:hAnsi="Times New Roman" w:cs="Times New Roman"/>
          <w:color w:val="000000"/>
        </w:rPr>
        <w:t xml:space="preserve">Change directive on blank vs. "zero" entries where no adjustment is made.  </w:t>
      </w:r>
      <w:r w:rsidRPr="00662B3B">
        <w:rPr>
          <w:rFonts w:ascii="Times New Roman" w:hAnsi="Times New Roman" w:cs="Times New Roman"/>
          <w:color w:val="000000"/>
        </w:rPr>
        <w:br/>
        <w:t>Because owners must certify to the completeness of the RCS prior to submission, blank lines could be the result of omission as well as commission.   A "zero" entry would ensure consistent understanding that, while distinctive characteristics may be noted between subject and comparable, the appraiser has clearly determined that there is no value to be placed on the difference.</w:t>
      </w:r>
    </w:p>
    <w:p w:rsidR="00662B3B" w:rsidRPr="00662B3B" w:rsidRDefault="00662B3B" w:rsidP="008D0CBE">
      <w:pPr>
        <w:tabs>
          <w:tab w:val="left" w:pos="1390"/>
          <w:tab w:val="left" w:pos="2014"/>
          <w:tab w:val="left" w:pos="2975"/>
        </w:tabs>
        <w:rPr>
          <w:rFonts w:ascii="Times New Roman" w:hAnsi="Times New Roman" w:cs="Times New Roman"/>
          <w:color w:val="000000"/>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5 Line 10</w:t>
      </w:r>
      <w:r w:rsidRPr="00662B3B">
        <w:rPr>
          <w:rFonts w:ascii="Times New Roman" w:hAnsi="Times New Roman" w:cs="Times New Roman"/>
          <w:b/>
          <w:color w:val="000000"/>
        </w:rPr>
        <w:br/>
      </w:r>
      <w:r w:rsidRPr="00662B3B">
        <w:rPr>
          <w:rFonts w:ascii="Times New Roman" w:hAnsi="Times New Roman" w:cs="Times New Roman"/>
          <w:color w:val="000000"/>
        </w:rPr>
        <w:t xml:space="preserve">Adopt expanded language "supporting market-based evidence regarding the value of these services" for use elsewhere in document when discussing non-shelter services (including at Appendix 9-1-2 lines 28 - 32, </w:t>
      </w:r>
      <w:proofErr w:type="spellStart"/>
      <w:r w:rsidRPr="00662B3B">
        <w:rPr>
          <w:rFonts w:ascii="Times New Roman" w:hAnsi="Times New Roman" w:cs="Times New Roman"/>
          <w:color w:val="000000"/>
        </w:rPr>
        <w:t>etc</w:t>
      </w:r>
      <w:proofErr w:type="spellEnd"/>
      <w:r w:rsidRPr="00662B3B">
        <w:rPr>
          <w:rFonts w:ascii="Times New Roman" w:hAnsi="Times New Roman" w:cs="Times New Roman"/>
          <w:color w:val="000000"/>
        </w:rPr>
        <w:t>)</w:t>
      </w:r>
    </w:p>
    <w:p w:rsidR="00662B3B" w:rsidRPr="00662B3B" w:rsidRDefault="00662B3B" w:rsidP="008D0CBE">
      <w:pPr>
        <w:tabs>
          <w:tab w:val="left" w:pos="1390"/>
          <w:tab w:val="left" w:pos="2014"/>
          <w:tab w:val="left" w:pos="2975"/>
        </w:tabs>
        <w:rPr>
          <w:rFonts w:ascii="Times New Roman" w:hAnsi="Times New Roman" w:cs="Times New Roman"/>
          <w:color w:val="000000"/>
        </w:rPr>
      </w:pPr>
      <w:proofErr w:type="gramStart"/>
      <w:r w:rsidRPr="00662B3B">
        <w:rPr>
          <w:rFonts w:ascii="Times New Roman" w:hAnsi="Times New Roman" w:cs="Times New Roman"/>
          <w:b/>
          <w:color w:val="000000"/>
        </w:rPr>
        <w:lastRenderedPageBreak/>
        <w:t>Appendix  9</w:t>
      </w:r>
      <w:proofErr w:type="gramEnd"/>
      <w:r w:rsidRPr="00662B3B">
        <w:rPr>
          <w:rFonts w:ascii="Times New Roman" w:hAnsi="Times New Roman" w:cs="Times New Roman"/>
          <w:b/>
          <w:color w:val="000000"/>
        </w:rPr>
        <w:t>-1-2: Page 10 Line 17</w:t>
      </w:r>
      <w:r w:rsidRPr="00662B3B">
        <w:rPr>
          <w:rFonts w:ascii="Times New Roman" w:hAnsi="Times New Roman" w:cs="Times New Roman"/>
          <w:b/>
          <w:color w:val="000000"/>
        </w:rPr>
        <w:br/>
      </w:r>
      <w:r w:rsidRPr="00662B3B">
        <w:rPr>
          <w:rFonts w:ascii="Times New Roman" w:hAnsi="Times New Roman" w:cs="Times New Roman"/>
          <w:color w:val="000000"/>
        </w:rPr>
        <w:t>Adopt and apply this language "adjustment may be warranted based on market preferences" and "RCS appraiser must explain the basis for any adjustment exceeding $10" for non-shelter services.  Here, these provision are applied to differences in structure/stories, and do not include any caps.  Such provisions are also applied to balconies/patios (on page 12/line 32); for AC (page 12/line 40</w:t>
      </w:r>
      <w:proofErr w:type="gramStart"/>
      <w:r w:rsidRPr="00662B3B">
        <w:rPr>
          <w:rFonts w:ascii="Times New Roman" w:hAnsi="Times New Roman" w:cs="Times New Roman"/>
          <w:color w:val="000000"/>
        </w:rPr>
        <w:t>) ;</w:t>
      </w:r>
      <w:proofErr w:type="gramEnd"/>
      <w:r w:rsidRPr="00662B3B">
        <w:rPr>
          <w:rFonts w:ascii="Times New Roman" w:hAnsi="Times New Roman" w:cs="Times New Roman"/>
          <w:color w:val="000000"/>
        </w:rPr>
        <w:t xml:space="preserve"> implied for microwave/dishwasher (page 13/line 9 "typically");</w:t>
      </w:r>
    </w:p>
    <w:p w:rsidR="00662B3B" w:rsidRPr="00662B3B" w:rsidRDefault="00662B3B" w:rsidP="008D0CBE">
      <w:pPr>
        <w:tabs>
          <w:tab w:val="left" w:pos="1390"/>
          <w:tab w:val="left" w:pos="2014"/>
          <w:tab w:val="left" w:pos="2975"/>
        </w:tabs>
        <w:rPr>
          <w:rFonts w:ascii="Times New Roman" w:hAnsi="Times New Roman" w:cs="Times New Roman"/>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10 Line 28</w:t>
      </w:r>
      <w:r w:rsidRPr="00662B3B">
        <w:rPr>
          <w:rFonts w:ascii="Times New Roman" w:hAnsi="Times New Roman" w:cs="Times New Roman"/>
          <w:b/>
          <w:color w:val="000000"/>
        </w:rPr>
        <w:br/>
      </w:r>
      <w:r w:rsidRPr="00662B3B">
        <w:rPr>
          <w:rFonts w:ascii="Times New Roman" w:hAnsi="Times New Roman" w:cs="Times New Roman"/>
        </w:rPr>
        <w:t>The new language (lines 27 - 33) providing guidance on type and appropriate adjustment amount (here, for age of building and/or time since renovation) needs to be reviewed closely, as the basis for the assertion is not given and it is not clear that the Appraisal Institute or other such professional appraiser certification and training bodies have seen or accepted such directives.</w:t>
      </w:r>
    </w:p>
    <w:p w:rsidR="00662B3B" w:rsidRPr="00662B3B" w:rsidRDefault="00662B3B" w:rsidP="008D0CBE">
      <w:pPr>
        <w:tabs>
          <w:tab w:val="left" w:pos="1390"/>
          <w:tab w:val="left" w:pos="2014"/>
          <w:tab w:val="left" w:pos="2975"/>
        </w:tabs>
        <w:rPr>
          <w:rFonts w:ascii="Times New Roman" w:hAnsi="Times New Roman" w:cs="Times New Roman"/>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10 Line 35</w:t>
      </w:r>
      <w:r w:rsidRPr="00662B3B">
        <w:rPr>
          <w:rFonts w:ascii="Times New Roman" w:hAnsi="Times New Roman" w:cs="Times New Roman"/>
          <w:b/>
          <w:color w:val="000000"/>
        </w:rPr>
        <w:br/>
      </w:r>
      <w:r w:rsidRPr="00662B3B">
        <w:rPr>
          <w:rFonts w:ascii="Times New Roman" w:hAnsi="Times New Roman" w:cs="Times New Roman"/>
        </w:rPr>
        <w:t xml:space="preserve">Addition of "Acceptable (A)" as new rating for condition/street appeal is good.  The additional statement "no other classifications are acceptable" (beyond Excellent, Good, Average, Fair, or Poor) suggests that there have previously been problems with the rating scale.   Attempts to ensure consistency in identical dollar amount of adjustment factors applied to </w:t>
      </w:r>
      <w:proofErr w:type="spellStart"/>
      <w:r w:rsidRPr="00662B3B">
        <w:rPr>
          <w:rFonts w:ascii="Times New Roman" w:hAnsi="Times New Roman" w:cs="Times New Roman"/>
        </w:rPr>
        <w:t>comparables</w:t>
      </w:r>
      <w:proofErr w:type="spellEnd"/>
      <w:r w:rsidRPr="00662B3B">
        <w:rPr>
          <w:rFonts w:ascii="Times New Roman" w:hAnsi="Times New Roman" w:cs="Times New Roman"/>
        </w:rPr>
        <w:t xml:space="preserve">, however (at lines 10 - 12, p. 11) may be well-intentioned, </w:t>
      </w:r>
      <w:proofErr w:type="gramStart"/>
      <w:r w:rsidRPr="00662B3B">
        <w:rPr>
          <w:rFonts w:ascii="Times New Roman" w:hAnsi="Times New Roman" w:cs="Times New Roman"/>
        </w:rPr>
        <w:t>but  market</w:t>
      </w:r>
      <w:proofErr w:type="gramEnd"/>
      <w:r w:rsidRPr="00662B3B">
        <w:rPr>
          <w:rFonts w:ascii="Times New Roman" w:hAnsi="Times New Roman" w:cs="Times New Roman"/>
        </w:rPr>
        <w:t xml:space="preserve"> justification may not agree that the variable between one "excellent"  property and another will always have the same dollar value.  This, too, should be thoroughly vetted with professional appraisers, before adoption - or removed altogether and substituted with more supportable guidance "adjustment may be warranted based on market preferences" and "RCS appraiser must explain the basis for any adjustment" not in agreement with other similar condition/appeal adjustments.  (</w:t>
      </w:r>
      <w:proofErr w:type="gramStart"/>
      <w:r w:rsidRPr="00662B3B">
        <w:rPr>
          <w:rFonts w:ascii="Times New Roman" w:hAnsi="Times New Roman" w:cs="Times New Roman"/>
        </w:rPr>
        <w:t>see</w:t>
      </w:r>
      <w:proofErr w:type="gramEnd"/>
      <w:r w:rsidRPr="00662B3B">
        <w:rPr>
          <w:rFonts w:ascii="Times New Roman" w:hAnsi="Times New Roman" w:cs="Times New Roman"/>
        </w:rPr>
        <w:t xml:space="preserve"> above #13)</w:t>
      </w:r>
    </w:p>
    <w:p w:rsidR="00662B3B" w:rsidRPr="00662B3B" w:rsidRDefault="00662B3B" w:rsidP="008D0CBE">
      <w:pPr>
        <w:tabs>
          <w:tab w:val="left" w:pos="1390"/>
          <w:tab w:val="left" w:pos="2014"/>
          <w:tab w:val="left" w:pos="2975"/>
        </w:tabs>
        <w:rPr>
          <w:rFonts w:ascii="Times New Roman" w:hAnsi="Times New Roman" w:cs="Times New Roman"/>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11 Line 17</w:t>
      </w:r>
      <w:r w:rsidRPr="00662B3B">
        <w:rPr>
          <w:rFonts w:ascii="Times New Roman" w:hAnsi="Times New Roman" w:cs="Times New Roman"/>
          <w:b/>
          <w:color w:val="000000"/>
        </w:rPr>
        <w:br/>
      </w:r>
      <w:r w:rsidRPr="00662B3B">
        <w:rPr>
          <w:rFonts w:ascii="Times New Roman" w:hAnsi="Times New Roman" w:cs="Times New Roman"/>
        </w:rPr>
        <w:t xml:space="preserve">Addition of "Acceptable (A)" as new rating for neighborhood characteristic is good.  The additional statement "no other classifications are acceptable" (beyond Excellent, Good, Average, Fair, or Poor) suggests that there have previously been problems with the rating scale.   Attempts to ensure consistency in identical dollar amount of adjustment factors applied to </w:t>
      </w:r>
      <w:proofErr w:type="spellStart"/>
      <w:r w:rsidRPr="00662B3B">
        <w:rPr>
          <w:rFonts w:ascii="Times New Roman" w:hAnsi="Times New Roman" w:cs="Times New Roman"/>
        </w:rPr>
        <w:t>comparables</w:t>
      </w:r>
      <w:proofErr w:type="spellEnd"/>
      <w:r w:rsidRPr="00662B3B">
        <w:rPr>
          <w:rFonts w:ascii="Times New Roman" w:hAnsi="Times New Roman" w:cs="Times New Roman"/>
        </w:rPr>
        <w:t>, however (at lines 27 - 33, page 11) may be well-intentioned, but  market justification may not agree that the variable between one "fair"  property and another will always have the same dollar value.  This, too, should be thoroughly vetted with professional appraisers, before adoption.   Or removed altogether and substituted with more supportable guidance "adjustment may be warranted based on market preferences" and "RCS appraiser must explain the basis for any adjustment" not in agreement with other neighborhood adjustments.  (</w:t>
      </w:r>
      <w:proofErr w:type="gramStart"/>
      <w:r w:rsidRPr="00662B3B">
        <w:rPr>
          <w:rFonts w:ascii="Times New Roman" w:hAnsi="Times New Roman" w:cs="Times New Roman"/>
        </w:rPr>
        <w:t>see</w:t>
      </w:r>
      <w:proofErr w:type="gramEnd"/>
      <w:r w:rsidRPr="00662B3B">
        <w:rPr>
          <w:rFonts w:ascii="Times New Roman" w:hAnsi="Times New Roman" w:cs="Times New Roman"/>
        </w:rPr>
        <w:t xml:space="preserve"> above comment #12)</w:t>
      </w:r>
    </w:p>
    <w:p w:rsidR="00662B3B" w:rsidRPr="00662B3B" w:rsidRDefault="00662B3B" w:rsidP="008D0CBE">
      <w:pPr>
        <w:tabs>
          <w:tab w:val="left" w:pos="1390"/>
          <w:tab w:val="left" w:pos="2014"/>
          <w:tab w:val="left" w:pos="2975"/>
        </w:tabs>
        <w:rPr>
          <w:rFonts w:ascii="Times New Roman" w:hAnsi="Times New Roman" w:cs="Times New Roman"/>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13 Line 20</w:t>
      </w:r>
      <w:r w:rsidRPr="00662B3B">
        <w:rPr>
          <w:rFonts w:ascii="Times New Roman" w:hAnsi="Times New Roman" w:cs="Times New Roman"/>
          <w:b/>
          <w:color w:val="000000"/>
        </w:rPr>
        <w:br/>
      </w:r>
      <w:r w:rsidRPr="00662B3B">
        <w:rPr>
          <w:rFonts w:ascii="Times New Roman" w:hAnsi="Times New Roman" w:cs="Times New Roman"/>
        </w:rPr>
        <w:t xml:space="preserve">Is this an acceptable standard, to condition valuation based on the marketing staff of the comparable, not the appraiser?  New statements concerning only adjusting for type of floor covering (line 19), window coverings (line 20), or other special features (line 22)  "if there is evidence, </w:t>
      </w:r>
      <w:r w:rsidRPr="00662B3B">
        <w:rPr>
          <w:rFonts w:ascii="Times New Roman" w:hAnsi="Times New Roman" w:cs="Times New Roman"/>
          <w:i/>
          <w:iCs/>
        </w:rPr>
        <w:t xml:space="preserve">based on the experience of property managers and leasing agents" - </w:t>
      </w:r>
      <w:r w:rsidRPr="00662B3B">
        <w:rPr>
          <w:rFonts w:ascii="Times New Roman" w:hAnsi="Times New Roman" w:cs="Times New Roman"/>
          <w:iCs/>
        </w:rPr>
        <w:t xml:space="preserve">suggests at a minimum a new level of work for appraiser - to ascertain atypical level of detail from comparable site staff.  Additionally, seems a rather unusual directive to defer to comparable staff over appraiser knowledge/experience.  Recommendation: Convene </w:t>
      </w:r>
      <w:r w:rsidRPr="00662B3B">
        <w:rPr>
          <w:rFonts w:ascii="Times New Roman" w:hAnsi="Times New Roman" w:cs="Times New Roman"/>
          <w:iCs/>
        </w:rPr>
        <w:lastRenderedPageBreak/>
        <w:t>stakeholder workgroup to evaluate further, including Appraisal Institute or other appraisal professional standards groups.</w:t>
      </w:r>
    </w:p>
    <w:p w:rsidR="00662B3B" w:rsidRPr="00662B3B" w:rsidRDefault="00662B3B" w:rsidP="008D0CBE">
      <w:pPr>
        <w:tabs>
          <w:tab w:val="left" w:pos="1390"/>
          <w:tab w:val="left" w:pos="2014"/>
          <w:tab w:val="left" w:pos="2975"/>
        </w:tabs>
        <w:rPr>
          <w:rFonts w:ascii="Times New Roman" w:hAnsi="Times New Roman" w:cs="Times New Roman"/>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15 Line 11</w:t>
      </w:r>
      <w:r w:rsidRPr="00662B3B">
        <w:rPr>
          <w:rFonts w:ascii="Times New Roman" w:hAnsi="Times New Roman" w:cs="Times New Roman"/>
          <w:b/>
          <w:color w:val="000000"/>
        </w:rPr>
        <w:br/>
      </w:r>
      <w:r w:rsidRPr="00662B3B">
        <w:rPr>
          <w:rFonts w:ascii="Times New Roman" w:hAnsi="Times New Roman" w:cs="Times New Roman"/>
        </w:rPr>
        <w:t>Appreciate expansion of recognized security features of "secured site access, and exterior/corridor lighting"</w:t>
      </w:r>
    </w:p>
    <w:p w:rsidR="00662B3B" w:rsidRPr="00662B3B" w:rsidRDefault="00662B3B" w:rsidP="008D0CBE">
      <w:pPr>
        <w:tabs>
          <w:tab w:val="left" w:pos="1390"/>
          <w:tab w:val="left" w:pos="2014"/>
          <w:tab w:val="left" w:pos="2975"/>
        </w:tabs>
        <w:rPr>
          <w:rFonts w:ascii="Times New Roman" w:hAnsi="Times New Roman" w:cs="Times New Roman"/>
        </w:rPr>
      </w:pPr>
      <w:r w:rsidRPr="00662B3B">
        <w:rPr>
          <w:rFonts w:ascii="Times New Roman" w:hAnsi="Times New Roman" w:cs="Times New Roman"/>
          <w:b/>
          <w:color w:val="000000"/>
        </w:rPr>
        <w:t>Appendix  9-1-2: Page 15 Line 22</w:t>
      </w:r>
      <w:r w:rsidRPr="00662B3B">
        <w:rPr>
          <w:rFonts w:ascii="Times New Roman" w:hAnsi="Times New Roman" w:cs="Times New Roman"/>
          <w:b/>
          <w:color w:val="000000"/>
        </w:rPr>
        <w:br/>
      </w:r>
      <w:r w:rsidRPr="00662B3B">
        <w:rPr>
          <w:rFonts w:ascii="Times New Roman" w:hAnsi="Times New Roman" w:cs="Times New Roman"/>
        </w:rPr>
        <w:t xml:space="preserve">Reevaluate and modify the "important note" concerning lines 28 – 32 which currently contains 3 numbered statements eliciting a range of feedback responses. </w:t>
      </w:r>
      <w:r w:rsidRPr="00662B3B">
        <w:rPr>
          <w:rFonts w:ascii="Times New Roman" w:hAnsi="Times New Roman" w:cs="Times New Roman"/>
        </w:rPr>
        <w:br/>
        <w:t xml:space="preserve">We agree with and appreciate the statement at Item 1 (regarding valuing availability of services even if there is a charge).  </w:t>
      </w:r>
      <w:r w:rsidRPr="00662B3B">
        <w:rPr>
          <w:rFonts w:ascii="Times New Roman" w:hAnsi="Times New Roman" w:cs="Times New Roman"/>
        </w:rPr>
        <w:br/>
      </w:r>
      <w:r w:rsidRPr="00662B3B">
        <w:rPr>
          <w:rFonts w:ascii="Times New Roman" w:hAnsi="Times New Roman" w:cs="Times New Roman"/>
        </w:rPr>
        <w:br/>
        <w:t xml:space="preserve">However, item 2 offers no support for the statement asserting that there should generally be </w:t>
      </w:r>
      <w:proofErr w:type="gramStart"/>
      <w:r w:rsidRPr="00662B3B">
        <w:rPr>
          <w:rFonts w:ascii="Times New Roman" w:hAnsi="Times New Roman" w:cs="Times New Roman"/>
        </w:rPr>
        <w:t>a  lesser</w:t>
      </w:r>
      <w:proofErr w:type="gramEnd"/>
      <w:r w:rsidRPr="00662B3B">
        <w:rPr>
          <w:rFonts w:ascii="Times New Roman" w:hAnsi="Times New Roman" w:cs="Times New Roman"/>
        </w:rPr>
        <w:t xml:space="preserve"> value placed on service offered to residents at a charge, as the note fails to consider/address/recognize that nominal charges are increasingly used to assure mindful engagement and/or actual follow-through of a participant, without being reflective of either the value in the market or the actual cost of the delivery of the service (i.e., having some "skin in the game"). </w:t>
      </w:r>
      <w:r w:rsidRPr="00662B3B">
        <w:rPr>
          <w:rFonts w:ascii="Times New Roman" w:hAnsi="Times New Roman" w:cs="Times New Roman"/>
        </w:rPr>
        <w:br/>
      </w:r>
      <w:r w:rsidRPr="00662B3B">
        <w:rPr>
          <w:rFonts w:ascii="Times New Roman" w:hAnsi="Times New Roman" w:cs="Times New Roman"/>
        </w:rPr>
        <w:br/>
        <w:t xml:space="preserve">And item 3 efforts to cap total net adjustments by a specific dollar figure ($30 cumulatively) are highly objectionable as HUD is attempting to limit or cap potential market </w:t>
      </w:r>
      <w:proofErr w:type="spellStart"/>
      <w:r w:rsidRPr="00662B3B">
        <w:rPr>
          <w:rFonts w:ascii="Times New Roman" w:hAnsi="Times New Roman" w:cs="Times New Roman"/>
        </w:rPr>
        <w:t>fluxuations</w:t>
      </w:r>
      <w:proofErr w:type="spellEnd"/>
      <w:r w:rsidRPr="00662B3B">
        <w:rPr>
          <w:rFonts w:ascii="Times New Roman" w:hAnsi="Times New Roman" w:cs="Times New Roman"/>
        </w:rPr>
        <w:t xml:space="preserve"> (here and later on page 6 where adjustments for individual services are capped at $10 each) and, further, makes the erroneous assertion that "it is unusual for a project to offer more than two or three distinct categories of non-shelter services."        </w:t>
      </w:r>
      <w:r w:rsidRPr="00662B3B">
        <w:rPr>
          <w:rFonts w:ascii="Times New Roman" w:hAnsi="Times New Roman" w:cs="Times New Roman"/>
        </w:rPr>
        <w:br/>
        <w:t xml:space="preserve">                                                                                                                                                                                                                                                                                Recent studies show that a wide range of non-shelter services and supports are increasingly being provided to residents through on-site and/or coordinated efforts with state and/or local services providers, and even as part of targeted health care demonstration programs.  The value to the residents of these efforts (to say nothing of the value to the property, community, city and/or </w:t>
      </w:r>
      <w:proofErr w:type="gramStart"/>
      <w:r w:rsidRPr="00662B3B">
        <w:rPr>
          <w:rFonts w:ascii="Times New Roman" w:hAnsi="Times New Roman" w:cs="Times New Roman"/>
        </w:rPr>
        <w:t>state  -</w:t>
      </w:r>
      <w:proofErr w:type="gramEnd"/>
      <w:r w:rsidRPr="00662B3B">
        <w:rPr>
          <w:rFonts w:ascii="Times New Roman" w:hAnsi="Times New Roman" w:cs="Times New Roman"/>
        </w:rPr>
        <w:t xml:space="preserve"> or the potential savings to Medicare and/or Medicaid, which is increasingly being studied and researched) should not be artificially minimized or constrained, nor should the range of opportunities and their potential market value to current and potential residents be in any way limited by the specific categories proposed in line 31).    </w:t>
      </w:r>
      <w:r w:rsidRPr="00662B3B">
        <w:rPr>
          <w:rFonts w:ascii="Times New Roman" w:hAnsi="Times New Roman" w:cs="Times New Roman"/>
        </w:rPr>
        <w:br/>
        <w:t xml:space="preserve">                                                                                                                                                                                                                                                                                                                                                                                                 Therefore, we recommend broadening the language  in Line 31 to allow for the unlimited identification of and adjustments ("as supported by market-based evidence regarding the value of these services") for such additional supports and services as may be available at, or as the result of arrangements made by, the property including, but not limited to:</w:t>
      </w:r>
      <w:r w:rsidRPr="00662B3B">
        <w:rPr>
          <w:rFonts w:ascii="Times New Roman" w:hAnsi="Times New Roman" w:cs="Times New Roman"/>
        </w:rPr>
        <w:br/>
        <w:t>•         Social and recreational activities</w:t>
      </w:r>
      <w:r w:rsidRPr="00662B3B">
        <w:rPr>
          <w:rFonts w:ascii="Times New Roman" w:hAnsi="Times New Roman" w:cs="Times New Roman"/>
        </w:rPr>
        <w:br/>
        <w:t>•         Transportation</w:t>
      </w:r>
      <w:r w:rsidRPr="00662B3B">
        <w:rPr>
          <w:rFonts w:ascii="Times New Roman" w:hAnsi="Times New Roman" w:cs="Times New Roman"/>
        </w:rPr>
        <w:br/>
        <w:t>•         Meals and nutrition support (as some properties have relationships with foodbanks or other programs that bring groceries to the property)</w:t>
      </w:r>
      <w:r w:rsidRPr="00662B3B">
        <w:rPr>
          <w:rFonts w:ascii="Times New Roman" w:hAnsi="Times New Roman" w:cs="Times New Roman"/>
        </w:rPr>
        <w:br/>
        <w:t xml:space="preserve">•         Health and wellness (which could encompass several activities: including a wellness nurse, health related classes and education, screening, primary care, mental health care, medication management, </w:t>
      </w:r>
      <w:r w:rsidRPr="00662B3B">
        <w:rPr>
          <w:rFonts w:ascii="Times New Roman" w:hAnsi="Times New Roman" w:cs="Times New Roman"/>
        </w:rPr>
        <w:lastRenderedPageBreak/>
        <w:t xml:space="preserve">telehealth, coordinated care management (like SASH), etc.) </w:t>
      </w:r>
      <w:r w:rsidRPr="00662B3B">
        <w:rPr>
          <w:rFonts w:ascii="Times New Roman" w:hAnsi="Times New Roman" w:cs="Times New Roman"/>
        </w:rPr>
        <w:br/>
        <w:t>•         Homemaker assistance and personal support (which include housekeeping and laundry, but also include other things like shopping or other support as organized through partnerships with organizations that place staff onsite)</w:t>
      </w:r>
      <w:r w:rsidRPr="00662B3B">
        <w:rPr>
          <w:rFonts w:ascii="Times New Roman" w:hAnsi="Times New Roman" w:cs="Times New Roman"/>
        </w:rPr>
        <w:br/>
        <w:t xml:space="preserve">•         Security and monitoring (which could encompass on-site physical security personnel, or partnerships providing passive sensor and activity monitoring with technology providers and/or local universities, etc.) </w:t>
      </w:r>
    </w:p>
    <w:p w:rsidR="00662B3B" w:rsidRPr="00662B3B" w:rsidRDefault="00662B3B" w:rsidP="008D0CBE">
      <w:pPr>
        <w:tabs>
          <w:tab w:val="left" w:pos="1390"/>
          <w:tab w:val="left" w:pos="2014"/>
          <w:tab w:val="left" w:pos="2975"/>
        </w:tabs>
        <w:rPr>
          <w:rFonts w:ascii="Times New Roman" w:hAnsi="Times New Roman" w:cs="Times New Roman"/>
          <w:b/>
          <w:color w:val="000000"/>
        </w:rPr>
      </w:pPr>
      <w:r w:rsidRPr="00662B3B">
        <w:rPr>
          <w:rFonts w:ascii="Times New Roman" w:hAnsi="Times New Roman" w:cs="Times New Roman"/>
          <w:b/>
          <w:color w:val="000000"/>
        </w:rPr>
        <w:t>Appendix 9-1-2: Page 15 Line 35</w:t>
      </w:r>
    </w:p>
    <w:p w:rsidR="00662B3B" w:rsidRPr="00662B3B" w:rsidRDefault="00662B3B" w:rsidP="008D0CBE">
      <w:pPr>
        <w:tabs>
          <w:tab w:val="left" w:pos="1390"/>
          <w:tab w:val="left" w:pos="2014"/>
          <w:tab w:val="left" w:pos="2975"/>
        </w:tabs>
        <w:rPr>
          <w:rFonts w:ascii="Times New Roman" w:hAnsi="Times New Roman" w:cs="Times New Roman"/>
          <w:color w:val="000000"/>
        </w:rPr>
      </w:pPr>
      <w:r w:rsidRPr="00662B3B">
        <w:rPr>
          <w:rFonts w:ascii="Times New Roman" w:hAnsi="Times New Roman" w:cs="Times New Roman"/>
          <w:color w:val="000000"/>
        </w:rPr>
        <w:t xml:space="preserve">Remove proscribed fixed dollar value adjustment and NOTE-referenced total net adjustment for business center/neighborhood network.  </w:t>
      </w:r>
      <w:r w:rsidRPr="00662B3B">
        <w:rPr>
          <w:rFonts w:ascii="Times New Roman" w:hAnsi="Times New Roman" w:cs="Times New Roman"/>
          <w:color w:val="000000"/>
        </w:rPr>
        <w:br/>
      </w:r>
      <w:r w:rsidRPr="00662B3B">
        <w:rPr>
          <w:rFonts w:ascii="Times New Roman" w:hAnsi="Times New Roman" w:cs="Times New Roman"/>
          <w:color w:val="000000"/>
        </w:rPr>
        <w:br/>
        <w:t xml:space="preserve">Comparability studies should accept evidence of market value, without artificial or perceived </w:t>
      </w:r>
      <w:proofErr w:type="gramStart"/>
      <w:r w:rsidRPr="00662B3B">
        <w:rPr>
          <w:rFonts w:ascii="Times New Roman" w:hAnsi="Times New Roman" w:cs="Times New Roman"/>
          <w:color w:val="000000"/>
        </w:rPr>
        <w:t>constraint  Inserting</w:t>
      </w:r>
      <w:proofErr w:type="gramEnd"/>
      <w:r w:rsidRPr="00662B3B">
        <w:rPr>
          <w:rFonts w:ascii="Times New Roman" w:hAnsi="Times New Roman" w:cs="Times New Roman"/>
          <w:color w:val="000000"/>
        </w:rPr>
        <w:t xml:space="preserve"> a specific value or suggested cap in this manner may result in the application of an effective cap or perceptions that the static figure should be applied in perpetuity, making this guidance subject to more frequent need for review/update. </w:t>
      </w:r>
    </w:p>
    <w:p w:rsidR="00662B3B" w:rsidRPr="00662B3B" w:rsidRDefault="00662B3B" w:rsidP="008D0CBE">
      <w:pPr>
        <w:tabs>
          <w:tab w:val="left" w:pos="1390"/>
          <w:tab w:val="left" w:pos="2014"/>
          <w:tab w:val="left" w:pos="2975"/>
        </w:tabs>
        <w:rPr>
          <w:rFonts w:ascii="Times New Roman" w:hAnsi="Times New Roman" w:cs="Times New Roman"/>
          <w:color w:val="000000"/>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16 Line 1</w:t>
      </w:r>
      <w:r w:rsidRPr="00662B3B">
        <w:rPr>
          <w:rFonts w:ascii="Times New Roman" w:hAnsi="Times New Roman" w:cs="Times New Roman"/>
          <w:b/>
          <w:color w:val="000000"/>
        </w:rPr>
        <w:br/>
      </w:r>
      <w:r w:rsidRPr="00662B3B">
        <w:rPr>
          <w:rFonts w:ascii="Times New Roman" w:hAnsi="Times New Roman" w:cs="Times New Roman"/>
          <w:color w:val="000000"/>
        </w:rPr>
        <w:t xml:space="preserve">Remove proscribed fixed dollar value adjustment and NOTE-referenced total net adjustment for service coordination.  </w:t>
      </w:r>
      <w:r w:rsidRPr="00662B3B">
        <w:rPr>
          <w:rFonts w:ascii="Times New Roman" w:hAnsi="Times New Roman" w:cs="Times New Roman"/>
          <w:color w:val="000000"/>
        </w:rPr>
        <w:br/>
      </w:r>
      <w:r w:rsidRPr="00662B3B">
        <w:rPr>
          <w:rFonts w:ascii="Times New Roman" w:hAnsi="Times New Roman" w:cs="Times New Roman"/>
          <w:color w:val="000000"/>
        </w:rPr>
        <w:br/>
        <w:t xml:space="preserve">Comparability studies should accept evidence of market value, without artificial or perceived constraint.  Inserting a specific value or suggested cap in this manner may result in the application of an effective cap or perceptions that the static figure should be applied in perpetuity, making this guidance subject to more frequent need for review/update. </w:t>
      </w:r>
    </w:p>
    <w:p w:rsidR="00662B3B" w:rsidRPr="00662B3B" w:rsidRDefault="00662B3B" w:rsidP="008D0CBE">
      <w:pPr>
        <w:tabs>
          <w:tab w:val="left" w:pos="1390"/>
          <w:tab w:val="left" w:pos="2014"/>
          <w:tab w:val="left" w:pos="2975"/>
        </w:tabs>
        <w:rPr>
          <w:rFonts w:ascii="Times New Roman" w:hAnsi="Times New Roman" w:cs="Times New Roman"/>
          <w:color w:val="000000"/>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16 Line 7</w:t>
      </w:r>
      <w:r w:rsidRPr="00662B3B">
        <w:rPr>
          <w:rFonts w:ascii="Times New Roman" w:hAnsi="Times New Roman" w:cs="Times New Roman"/>
          <w:b/>
          <w:color w:val="000000"/>
        </w:rPr>
        <w:br/>
      </w:r>
      <w:r w:rsidRPr="00662B3B">
        <w:rPr>
          <w:rFonts w:ascii="Times New Roman" w:hAnsi="Times New Roman" w:cs="Times New Roman"/>
          <w:color w:val="000000"/>
        </w:rPr>
        <w:t xml:space="preserve">Remove proscribed fixed dollar value adjustment and NOTE-referenced total net adjustment for non-shelter services.  </w:t>
      </w:r>
      <w:r w:rsidRPr="00662B3B">
        <w:rPr>
          <w:rFonts w:ascii="Times New Roman" w:hAnsi="Times New Roman" w:cs="Times New Roman"/>
          <w:color w:val="000000"/>
        </w:rPr>
        <w:br/>
      </w:r>
      <w:r w:rsidRPr="00662B3B">
        <w:rPr>
          <w:rFonts w:ascii="Times New Roman" w:hAnsi="Times New Roman" w:cs="Times New Roman"/>
          <w:color w:val="000000"/>
        </w:rPr>
        <w:br/>
        <w:t xml:space="preserve">Comparability studies should accept evidence of market value, without artificial or perceived constraint.  Inserting a specific value or suggested cap in this manner may result in the application of an effective cap or perceptions that the static figure should be applied in perpetuity, making this guidance subject to more frequent need for review/update. </w:t>
      </w:r>
    </w:p>
    <w:p w:rsidR="00662B3B" w:rsidRPr="00662B3B" w:rsidRDefault="00662B3B" w:rsidP="008D0CBE">
      <w:pPr>
        <w:tabs>
          <w:tab w:val="left" w:pos="1390"/>
          <w:tab w:val="left" w:pos="2014"/>
          <w:tab w:val="left" w:pos="2975"/>
        </w:tabs>
        <w:rPr>
          <w:rFonts w:ascii="Times New Roman" w:hAnsi="Times New Roman" w:cs="Times New Roman"/>
          <w:color w:val="000000"/>
        </w:rPr>
      </w:pPr>
      <w:proofErr w:type="gramStart"/>
      <w:r w:rsidRPr="00662B3B">
        <w:rPr>
          <w:rFonts w:ascii="Times New Roman" w:hAnsi="Times New Roman" w:cs="Times New Roman"/>
          <w:b/>
          <w:color w:val="000000"/>
        </w:rPr>
        <w:t>Appendix  9</w:t>
      </w:r>
      <w:proofErr w:type="gramEnd"/>
      <w:r w:rsidRPr="00662B3B">
        <w:rPr>
          <w:rFonts w:ascii="Times New Roman" w:hAnsi="Times New Roman" w:cs="Times New Roman"/>
          <w:b/>
          <w:color w:val="000000"/>
        </w:rPr>
        <w:t>-1-2: Page 16 Line 15</w:t>
      </w:r>
      <w:r w:rsidRPr="00662B3B">
        <w:rPr>
          <w:rFonts w:ascii="Times New Roman" w:hAnsi="Times New Roman" w:cs="Times New Roman"/>
          <w:b/>
          <w:color w:val="000000"/>
        </w:rPr>
        <w:br/>
      </w:r>
      <w:r w:rsidRPr="00662B3B">
        <w:rPr>
          <w:rFonts w:ascii="Times New Roman" w:hAnsi="Times New Roman" w:cs="Times New Roman"/>
          <w:color w:val="000000"/>
        </w:rPr>
        <w:t xml:space="preserve">Remove proscribed fixed dollar value adjustment and NOTE-referenced total net adjustment for blank/other types of social support programs .  </w:t>
      </w:r>
      <w:r w:rsidRPr="00662B3B">
        <w:rPr>
          <w:rFonts w:ascii="Times New Roman" w:hAnsi="Times New Roman" w:cs="Times New Roman"/>
          <w:color w:val="000000"/>
        </w:rPr>
        <w:br/>
      </w:r>
      <w:r w:rsidRPr="00662B3B">
        <w:rPr>
          <w:rFonts w:ascii="Times New Roman" w:hAnsi="Times New Roman" w:cs="Times New Roman"/>
          <w:color w:val="000000"/>
        </w:rPr>
        <w:br/>
        <w:t xml:space="preserve">Comparability studies should accept evidence of market value, without artificial or perceived constraint.  Inserting a specific value or suggested cap in this manner may result in the application of an effective cap or perceptions that the static figure should be applied in perpetuity, making this guidance subject to more frequent need for review/update. </w:t>
      </w:r>
    </w:p>
    <w:p w:rsidR="00662B3B" w:rsidRPr="00662B3B" w:rsidRDefault="00662B3B" w:rsidP="008D0CBE">
      <w:pPr>
        <w:tabs>
          <w:tab w:val="left" w:pos="1390"/>
          <w:tab w:val="left" w:pos="2014"/>
          <w:tab w:val="left" w:pos="2975"/>
        </w:tabs>
        <w:rPr>
          <w:rFonts w:ascii="Times New Roman" w:hAnsi="Times New Roman" w:cs="Times New Roman"/>
          <w:color w:val="000000"/>
        </w:rPr>
      </w:pPr>
      <w:proofErr w:type="gramStart"/>
      <w:r w:rsidRPr="00662B3B">
        <w:rPr>
          <w:rFonts w:ascii="Times New Roman" w:hAnsi="Times New Roman" w:cs="Times New Roman"/>
          <w:b/>
          <w:color w:val="000000"/>
        </w:rPr>
        <w:lastRenderedPageBreak/>
        <w:t>Appendix  9</w:t>
      </w:r>
      <w:proofErr w:type="gramEnd"/>
      <w:r w:rsidRPr="00662B3B">
        <w:rPr>
          <w:rFonts w:ascii="Times New Roman" w:hAnsi="Times New Roman" w:cs="Times New Roman"/>
          <w:b/>
          <w:color w:val="000000"/>
        </w:rPr>
        <w:t>-5-4: Page 43 Line 4</w:t>
      </w:r>
      <w:r w:rsidRPr="00662B3B">
        <w:rPr>
          <w:rFonts w:ascii="Times New Roman" w:hAnsi="Times New Roman" w:cs="Times New Roman"/>
          <w:b/>
          <w:color w:val="000000"/>
        </w:rPr>
        <w:br/>
      </w:r>
      <w:r w:rsidRPr="00662B3B">
        <w:rPr>
          <w:rFonts w:ascii="Times New Roman" w:hAnsi="Times New Roman" w:cs="Times New Roman"/>
          <w:color w:val="000000"/>
        </w:rPr>
        <w:t>Remove erroneous statement "it is rare for a project to offer more than two or three distinct categories of non-shelter services".  And discuss with stakeholders and appraisal professionals establishment of an appropriate amount that should realistically trigger a second review.</w:t>
      </w:r>
    </w:p>
    <w:p w:rsidR="00662B3B" w:rsidRPr="00662B3B" w:rsidRDefault="00662B3B" w:rsidP="00662B3B">
      <w:pPr>
        <w:rPr>
          <w:rFonts w:ascii="Times New Roman" w:hAnsi="Times New Roman" w:cs="Times New Roman"/>
        </w:rPr>
      </w:pPr>
    </w:p>
    <w:p w:rsidR="00662B3B" w:rsidRPr="00535FB8" w:rsidRDefault="00662B3B" w:rsidP="0058210A">
      <w:pPr>
        <w:rPr>
          <w:rFonts w:ascii="Times New Roman" w:hAnsi="Times New Roman" w:cs="Times New Roman"/>
          <w:color w:val="000000"/>
          <w:sz w:val="24"/>
          <w:szCs w:val="24"/>
        </w:rPr>
      </w:pPr>
    </w:p>
    <w:sectPr w:rsidR="00662B3B" w:rsidRPr="00535FB8" w:rsidSect="00A901A9">
      <w:headerReference w:type="even" r:id="rId13"/>
      <w:head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8E1" w:rsidRDefault="00B678E1" w:rsidP="00504FC2">
      <w:pPr>
        <w:spacing w:after="0" w:line="240" w:lineRule="auto"/>
      </w:pPr>
      <w:r>
        <w:separator/>
      </w:r>
    </w:p>
  </w:endnote>
  <w:endnote w:type="continuationSeparator" w:id="0">
    <w:p w:rsidR="00B678E1" w:rsidRDefault="00B678E1" w:rsidP="00504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8E1" w:rsidRDefault="00B678E1" w:rsidP="00504FC2">
      <w:pPr>
        <w:spacing w:after="0" w:line="240" w:lineRule="auto"/>
      </w:pPr>
      <w:r>
        <w:separator/>
      </w:r>
    </w:p>
  </w:footnote>
  <w:footnote w:type="continuationSeparator" w:id="0">
    <w:p w:rsidR="00B678E1" w:rsidRDefault="00B678E1" w:rsidP="00504F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8E1" w:rsidRDefault="00872A8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20282" o:spid="_x0000_s1030" type="#_x0000_t75" style="position:absolute;margin-left:0;margin-top:0;width:612pt;height:11in;z-index:-251658240;mso-position-horizontal:center;mso-position-horizontal-relative:margin;mso-position-vertical:center;mso-position-vertical-relative:margin" o:allowincell="f">
          <v:imagedata r:id="rId1" o:title="Letterhea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8E1" w:rsidRDefault="008D0CBE">
    <w:pPr>
      <w:pStyle w:val="Header"/>
    </w:pPr>
    <w:r>
      <w:t xml:space="preserve">LeadingAge Comments to HUD on </w:t>
    </w:r>
    <w:r>
      <w:br/>
      <w:t>Proposed Changes to Chapter 9</w:t>
    </w:r>
    <w:r>
      <w:br/>
      <w:t xml:space="preserve">Section 8 Renewal Guide - Page </w:t>
    </w:r>
    <w:r>
      <w:fldChar w:fldCharType="begin"/>
    </w:r>
    <w:r>
      <w:instrText xml:space="preserve"> PAGE   \* MERGEFORMAT </w:instrText>
    </w:r>
    <w:r>
      <w:fldChar w:fldCharType="separate"/>
    </w:r>
    <w:r w:rsidR="00872A8C">
      <w:rPr>
        <w:noProof/>
      </w:rPr>
      <w:t>11</w:t>
    </w:r>
    <w:r>
      <w:rPr>
        <w:noProof/>
      </w:rPr>
      <w:fldChar w:fldCharType="end"/>
    </w:r>
  </w:p>
  <w:p w:rsidR="00B678E1" w:rsidRDefault="00B678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8E1" w:rsidRDefault="00B678E1">
    <w:pPr>
      <w:pStyle w:val="Header"/>
    </w:pPr>
    <w:r w:rsidRPr="00B678E1">
      <w:rPr>
        <w:noProof/>
      </w:rPr>
      <w:drawing>
        <wp:anchor distT="0" distB="0" distL="114300" distR="114300" simplePos="0" relativeHeight="251657216" behindDoc="1" locked="0" layoutInCell="0" allowOverlap="0">
          <wp:simplePos x="0" y="0"/>
          <wp:positionH relativeFrom="page">
            <wp:align>center</wp:align>
          </wp:positionH>
          <wp:positionV relativeFrom="page">
            <wp:align>center</wp:align>
          </wp:positionV>
          <wp:extent cx="7778750" cy="10058400"/>
          <wp:effectExtent l="19050" t="0" r="0" b="0"/>
          <wp:wrapNone/>
          <wp:docPr id="6" name="Letterhead.jpg" descr="S:\CREATIVE_SERVICES\LeadingAge Collateral\Letterhead bus cards envelope etc\LeadingAge Corporate\PDFs\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jpg"/>
                  <pic:cNvPicPr/>
                </pic:nvPicPr>
                <pic:blipFill>
                  <a:blip r:embed="rId1" r:link="rId2"/>
                  <a:stretch>
                    <a:fillRect/>
                  </a:stretch>
                </pic:blipFill>
                <pic:spPr>
                  <a:xfrm>
                    <a:off x="0" y="0"/>
                    <a:ext cx="7778750" cy="100584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B1558"/>
    <w:multiLevelType w:val="hybridMultilevel"/>
    <w:tmpl w:val="EE9A1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FC2"/>
    <w:rsid w:val="0011492D"/>
    <w:rsid w:val="00244DF0"/>
    <w:rsid w:val="00277139"/>
    <w:rsid w:val="00487FE5"/>
    <w:rsid w:val="00504FC2"/>
    <w:rsid w:val="00535FB8"/>
    <w:rsid w:val="005431F8"/>
    <w:rsid w:val="0058210A"/>
    <w:rsid w:val="005934D5"/>
    <w:rsid w:val="005D7621"/>
    <w:rsid w:val="005D7F3F"/>
    <w:rsid w:val="00662B3B"/>
    <w:rsid w:val="006A6D70"/>
    <w:rsid w:val="00872A8C"/>
    <w:rsid w:val="008D0CBE"/>
    <w:rsid w:val="00937462"/>
    <w:rsid w:val="009E6CF0"/>
    <w:rsid w:val="00A901A9"/>
    <w:rsid w:val="00AF4926"/>
    <w:rsid w:val="00B678E1"/>
    <w:rsid w:val="00CC4450"/>
    <w:rsid w:val="00D25C9A"/>
    <w:rsid w:val="00E058EF"/>
    <w:rsid w:val="00FB0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F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FC2"/>
  </w:style>
  <w:style w:type="paragraph" w:styleId="Footer">
    <w:name w:val="footer"/>
    <w:basedOn w:val="Normal"/>
    <w:link w:val="FooterChar"/>
    <w:uiPriority w:val="99"/>
    <w:unhideWhenUsed/>
    <w:rsid w:val="00504F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4FC2"/>
  </w:style>
  <w:style w:type="paragraph" w:styleId="BalloonText">
    <w:name w:val="Balloon Text"/>
    <w:basedOn w:val="Normal"/>
    <w:link w:val="BalloonTextChar"/>
    <w:uiPriority w:val="99"/>
    <w:semiHidden/>
    <w:unhideWhenUsed/>
    <w:rsid w:val="00504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4FC2"/>
    <w:rPr>
      <w:rFonts w:ascii="Tahoma" w:hAnsi="Tahoma" w:cs="Tahoma"/>
      <w:sz w:val="16"/>
      <w:szCs w:val="16"/>
    </w:rPr>
  </w:style>
  <w:style w:type="character" w:styleId="Hyperlink">
    <w:name w:val="Hyperlink"/>
    <w:uiPriority w:val="99"/>
    <w:unhideWhenUsed/>
    <w:rsid w:val="00AF4926"/>
    <w:rPr>
      <w:color w:val="0000FF"/>
      <w:u w:val="single"/>
    </w:rPr>
  </w:style>
  <w:style w:type="paragraph" w:styleId="ListParagraph">
    <w:name w:val="List Paragraph"/>
    <w:basedOn w:val="Normal"/>
    <w:uiPriority w:val="34"/>
    <w:qFormat/>
    <w:rsid w:val="00AF4926"/>
    <w:pPr>
      <w:spacing w:after="0" w:line="240" w:lineRule="auto"/>
      <w:ind w:left="720"/>
    </w:pPr>
    <w:rPr>
      <w:rFonts w:ascii="Calibri" w:eastAsia="Calibri" w:hAnsi="Calibri" w:cs="Times New Roman"/>
    </w:rPr>
  </w:style>
  <w:style w:type="character" w:customStyle="1" w:styleId="yiv8801125199">
    <w:name w:val="yiv8801125199"/>
    <w:rsid w:val="00AF4926"/>
  </w:style>
  <w:style w:type="paragraph" w:customStyle="1" w:styleId="Default">
    <w:name w:val="Default"/>
    <w:rsid w:val="00AF4926"/>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AF4926"/>
    <w:rPr>
      <w:b/>
      <w:bCs/>
    </w:rPr>
  </w:style>
  <w:style w:type="paragraph" w:styleId="NoSpacing">
    <w:name w:val="No Spacing"/>
    <w:basedOn w:val="Normal"/>
    <w:uiPriority w:val="1"/>
    <w:qFormat/>
    <w:rsid w:val="00AF4926"/>
    <w:pPr>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F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FC2"/>
  </w:style>
  <w:style w:type="paragraph" w:styleId="Footer">
    <w:name w:val="footer"/>
    <w:basedOn w:val="Normal"/>
    <w:link w:val="FooterChar"/>
    <w:uiPriority w:val="99"/>
    <w:unhideWhenUsed/>
    <w:rsid w:val="00504F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4FC2"/>
  </w:style>
  <w:style w:type="paragraph" w:styleId="BalloonText">
    <w:name w:val="Balloon Text"/>
    <w:basedOn w:val="Normal"/>
    <w:link w:val="BalloonTextChar"/>
    <w:uiPriority w:val="99"/>
    <w:semiHidden/>
    <w:unhideWhenUsed/>
    <w:rsid w:val="00504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4FC2"/>
    <w:rPr>
      <w:rFonts w:ascii="Tahoma" w:hAnsi="Tahoma" w:cs="Tahoma"/>
      <w:sz w:val="16"/>
      <w:szCs w:val="16"/>
    </w:rPr>
  </w:style>
  <w:style w:type="character" w:styleId="Hyperlink">
    <w:name w:val="Hyperlink"/>
    <w:uiPriority w:val="99"/>
    <w:unhideWhenUsed/>
    <w:rsid w:val="00AF4926"/>
    <w:rPr>
      <w:color w:val="0000FF"/>
      <w:u w:val="single"/>
    </w:rPr>
  </w:style>
  <w:style w:type="paragraph" w:styleId="ListParagraph">
    <w:name w:val="List Paragraph"/>
    <w:basedOn w:val="Normal"/>
    <w:uiPriority w:val="34"/>
    <w:qFormat/>
    <w:rsid w:val="00AF4926"/>
    <w:pPr>
      <w:spacing w:after="0" w:line="240" w:lineRule="auto"/>
      <w:ind w:left="720"/>
    </w:pPr>
    <w:rPr>
      <w:rFonts w:ascii="Calibri" w:eastAsia="Calibri" w:hAnsi="Calibri" w:cs="Times New Roman"/>
    </w:rPr>
  </w:style>
  <w:style w:type="character" w:customStyle="1" w:styleId="yiv8801125199">
    <w:name w:val="yiv8801125199"/>
    <w:rsid w:val="00AF4926"/>
  </w:style>
  <w:style w:type="paragraph" w:customStyle="1" w:styleId="Default">
    <w:name w:val="Default"/>
    <w:rsid w:val="00AF4926"/>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AF4926"/>
    <w:rPr>
      <w:b/>
      <w:bCs/>
    </w:rPr>
  </w:style>
  <w:style w:type="paragraph" w:styleId="NoSpacing">
    <w:name w:val="No Spacing"/>
    <w:basedOn w:val="Normal"/>
    <w:uiPriority w:val="1"/>
    <w:qFormat/>
    <w:rsid w:val="00AF4926"/>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bloom@leadingage.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hud.gov/hudportal/HUD?src=/program_offices/housing/mfh/MFH_policy_drafts/sec8guide"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portal.hud.gov/hudportal/HUD?src=/program_offices/housing/mfh/MFH_policy_drafts/sec8guide" TargetMode="External"/><Relationship Id="rId4" Type="http://schemas.microsoft.com/office/2007/relationships/stylesWithEffects" Target="stylesWithEffects.xml"/><Relationship Id="rId9" Type="http://schemas.openxmlformats.org/officeDocument/2006/relationships/hyperlink" Target="mailto:Section8renewalguide@hud.gov"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file:///S:\CREATIVE_SERVICES\LeadingAge%20Collateral\Letterhead%20bus%20cards%20envelope%20etc\LeadingAge%20Corporate\PDFs\Letterhead.jp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18F7B-640B-4788-AD25-665744ED8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4423</Words>
  <Characters>25217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cwokas</dc:creator>
  <cp:lastModifiedBy>Colleen Bloom</cp:lastModifiedBy>
  <cp:revision>4</cp:revision>
  <cp:lastPrinted>2016-04-12T12:55:00Z</cp:lastPrinted>
  <dcterms:created xsi:type="dcterms:W3CDTF">2016-04-12T12:58:00Z</dcterms:created>
  <dcterms:modified xsi:type="dcterms:W3CDTF">2016-04-12T13:03:00Z</dcterms:modified>
</cp:coreProperties>
</file>